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1256"/>
        <w:gridCol w:w="875"/>
        <w:gridCol w:w="1202"/>
        <w:gridCol w:w="890"/>
        <w:gridCol w:w="197"/>
        <w:gridCol w:w="791"/>
        <w:gridCol w:w="509"/>
        <w:gridCol w:w="847"/>
        <w:gridCol w:w="766"/>
        <w:gridCol w:w="703"/>
        <w:gridCol w:w="1391"/>
      </w:tblGrid>
      <w:tr w:rsidR="00494424" w:rsidRPr="00A22864" w:rsidTr="00F776F1">
        <w:trPr>
          <w:trHeight w:val="227"/>
          <w:jc w:val="center"/>
        </w:trPr>
        <w:tc>
          <w:tcPr>
            <w:tcW w:w="1400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600" w:type="pct"/>
            <w:gridSpan w:val="9"/>
            <w:vAlign w:val="center"/>
          </w:tcPr>
          <w:p w:rsidR="00494424" w:rsidRPr="00A22864" w:rsidRDefault="009B4351" w:rsidP="008E1BFA">
            <w:pPr>
              <w:spacing w:after="60"/>
              <w:rPr>
                <w:lang w:val="sr-Cyrl-CS"/>
              </w:rPr>
            </w:pPr>
            <w:hyperlink r:id="rId5" w:history="1">
              <w:r w:rsidRPr="009B4351">
                <w:rPr>
                  <w:rStyle w:val="Hyperlink"/>
                  <w:lang w:val="sr-Cyrl-CS"/>
                </w:rPr>
                <w:t>Миодраг Голубовић</w:t>
              </w:r>
            </w:hyperlink>
          </w:p>
        </w:tc>
      </w:tr>
      <w:tr w:rsidR="00494424" w:rsidRPr="00A22864" w:rsidTr="00F776F1">
        <w:trPr>
          <w:trHeight w:val="227"/>
          <w:jc w:val="center"/>
        </w:trPr>
        <w:tc>
          <w:tcPr>
            <w:tcW w:w="1400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600" w:type="pct"/>
            <w:gridSpan w:val="9"/>
            <w:vAlign w:val="center"/>
          </w:tcPr>
          <w:p w:rsidR="00494424" w:rsidRPr="009B4351" w:rsidRDefault="009B4351" w:rsidP="008E1BFA">
            <w:pPr>
              <w:spacing w:after="60"/>
              <w:rPr>
                <w:lang/>
              </w:rPr>
            </w:pPr>
            <w:r>
              <w:rPr>
                <w:lang/>
              </w:rPr>
              <w:t>Доцент</w:t>
            </w:r>
          </w:p>
        </w:tc>
      </w:tr>
      <w:tr w:rsidR="00494424" w:rsidRPr="00A22864" w:rsidTr="00F776F1">
        <w:trPr>
          <w:trHeight w:val="227"/>
          <w:jc w:val="center"/>
        </w:trPr>
        <w:tc>
          <w:tcPr>
            <w:tcW w:w="1400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>, уметничка о</w:t>
            </w:r>
            <w:bookmarkStart w:id="0" w:name="_GoBack"/>
            <w:bookmarkEnd w:id="0"/>
            <w:r>
              <w:rPr>
                <w:b/>
                <w:lang w:val="sr-Cyrl-CS"/>
              </w:rPr>
              <w:t xml:space="preserve">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600" w:type="pct"/>
            <w:gridSpan w:val="9"/>
            <w:vAlign w:val="center"/>
          </w:tcPr>
          <w:p w:rsidR="00494424" w:rsidRPr="00A22864" w:rsidRDefault="009B4351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Геријатрија</w:t>
            </w:r>
          </w:p>
        </w:tc>
      </w:tr>
      <w:tr w:rsidR="00F776F1" w:rsidRPr="00A22864" w:rsidTr="00F776F1">
        <w:trPr>
          <w:trHeight w:val="227"/>
          <w:jc w:val="center"/>
        </w:trPr>
        <w:tc>
          <w:tcPr>
            <w:tcW w:w="969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32" w:type="pct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519" w:type="pct"/>
            <w:gridSpan w:val="4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081" w:type="pct"/>
            <w:gridSpan w:val="5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F776F1" w:rsidRPr="00A22864" w:rsidTr="00F776F1">
        <w:trPr>
          <w:trHeight w:val="227"/>
          <w:jc w:val="center"/>
        </w:trPr>
        <w:tc>
          <w:tcPr>
            <w:tcW w:w="969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32" w:type="pct"/>
            <w:vAlign w:val="center"/>
          </w:tcPr>
          <w:p w:rsidR="00494424" w:rsidRPr="00A22864" w:rsidRDefault="009B4351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2017.</w:t>
            </w:r>
          </w:p>
        </w:tc>
        <w:tc>
          <w:tcPr>
            <w:tcW w:w="1519" w:type="pct"/>
            <w:gridSpan w:val="4"/>
            <w:vAlign w:val="center"/>
          </w:tcPr>
          <w:p w:rsidR="00494424" w:rsidRPr="00A22864" w:rsidRDefault="009B4351" w:rsidP="008E1BFA">
            <w:pPr>
              <w:spacing w:after="60"/>
              <w:rPr>
                <w:lang w:val="sr-Cyrl-CS"/>
              </w:rPr>
            </w:pPr>
            <w:r w:rsidRPr="009B4351">
              <w:rPr>
                <w:lang w:val="sr-Cyrl-CS"/>
              </w:rPr>
              <w:t>Медицински факултет, Нови Сад</w:t>
            </w:r>
          </w:p>
        </w:tc>
        <w:tc>
          <w:tcPr>
            <w:tcW w:w="2081" w:type="pct"/>
            <w:gridSpan w:val="5"/>
            <w:vAlign w:val="center"/>
          </w:tcPr>
          <w:p w:rsidR="00494424" w:rsidRPr="00A22864" w:rsidRDefault="009B4351" w:rsidP="009B4351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Геријатрија</w:t>
            </w:r>
          </w:p>
        </w:tc>
      </w:tr>
      <w:tr w:rsidR="00F776F1" w:rsidRPr="00A22864" w:rsidTr="00F776F1">
        <w:trPr>
          <w:trHeight w:val="227"/>
          <w:jc w:val="center"/>
        </w:trPr>
        <w:tc>
          <w:tcPr>
            <w:tcW w:w="969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32" w:type="pct"/>
            <w:vAlign w:val="center"/>
          </w:tcPr>
          <w:p w:rsidR="00494424" w:rsidRPr="00A22864" w:rsidRDefault="009B4351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2013.</w:t>
            </w:r>
          </w:p>
        </w:tc>
        <w:tc>
          <w:tcPr>
            <w:tcW w:w="1519" w:type="pct"/>
            <w:gridSpan w:val="4"/>
            <w:vAlign w:val="center"/>
          </w:tcPr>
          <w:p w:rsidR="00494424" w:rsidRPr="00A22864" w:rsidRDefault="009B4351" w:rsidP="008E1BFA">
            <w:pPr>
              <w:spacing w:after="60"/>
              <w:rPr>
                <w:lang w:val="sr-Cyrl-CS"/>
              </w:rPr>
            </w:pPr>
            <w:r w:rsidRPr="009B4351">
              <w:rPr>
                <w:lang w:val="sr-Cyrl-CS"/>
              </w:rPr>
              <w:t>Медицински факултет, Нови Сад</w:t>
            </w:r>
          </w:p>
        </w:tc>
        <w:tc>
          <w:tcPr>
            <w:tcW w:w="2081" w:type="pct"/>
            <w:gridSpan w:val="5"/>
            <w:vAlign w:val="center"/>
          </w:tcPr>
          <w:p w:rsidR="00494424" w:rsidRPr="00A22864" w:rsidRDefault="009B4351" w:rsidP="009B4351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Кардиологија</w:t>
            </w:r>
          </w:p>
        </w:tc>
      </w:tr>
      <w:tr w:rsidR="00F776F1" w:rsidRPr="00A22864" w:rsidTr="00F776F1">
        <w:trPr>
          <w:trHeight w:val="227"/>
          <w:jc w:val="center"/>
        </w:trPr>
        <w:tc>
          <w:tcPr>
            <w:tcW w:w="969" w:type="pct"/>
            <w:gridSpan w:val="2"/>
            <w:vAlign w:val="center"/>
          </w:tcPr>
          <w:p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32" w:type="pct"/>
            <w:vAlign w:val="center"/>
          </w:tcPr>
          <w:p w:rsidR="00975A90" w:rsidRPr="00A22864" w:rsidRDefault="009B4351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2003.</w:t>
            </w:r>
          </w:p>
        </w:tc>
        <w:tc>
          <w:tcPr>
            <w:tcW w:w="1519" w:type="pct"/>
            <w:gridSpan w:val="4"/>
            <w:vAlign w:val="center"/>
          </w:tcPr>
          <w:p w:rsidR="00975A90" w:rsidRPr="00A22864" w:rsidRDefault="009B4351" w:rsidP="008E1BFA">
            <w:pPr>
              <w:spacing w:after="60"/>
              <w:rPr>
                <w:lang w:val="sr-Cyrl-CS"/>
              </w:rPr>
            </w:pPr>
            <w:r w:rsidRPr="009B4351">
              <w:rPr>
                <w:lang w:val="sr-Cyrl-CS"/>
              </w:rPr>
              <w:t>Медицински факултет, Нови Сад</w:t>
            </w:r>
          </w:p>
        </w:tc>
        <w:tc>
          <w:tcPr>
            <w:tcW w:w="2081" w:type="pct"/>
            <w:gridSpan w:val="5"/>
            <w:vAlign w:val="center"/>
          </w:tcPr>
          <w:p w:rsidR="00975A90" w:rsidRPr="00A22864" w:rsidRDefault="009B4351" w:rsidP="009B4351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Интерна медицина</w:t>
            </w:r>
          </w:p>
        </w:tc>
      </w:tr>
      <w:tr w:rsidR="00F776F1" w:rsidRPr="00A22864" w:rsidTr="00F776F1">
        <w:trPr>
          <w:trHeight w:val="227"/>
          <w:jc w:val="center"/>
        </w:trPr>
        <w:tc>
          <w:tcPr>
            <w:tcW w:w="969" w:type="pct"/>
            <w:gridSpan w:val="2"/>
            <w:vAlign w:val="center"/>
          </w:tcPr>
          <w:p w:rsidR="00494424" w:rsidRPr="000D32C3" w:rsidRDefault="00494424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432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519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81" w:type="pct"/>
            <w:gridSpan w:val="5"/>
            <w:vAlign w:val="center"/>
          </w:tcPr>
          <w:p w:rsidR="00494424" w:rsidRPr="00A22864" w:rsidRDefault="00494424" w:rsidP="009B4351">
            <w:pPr>
              <w:spacing w:after="60"/>
              <w:jc w:val="center"/>
              <w:rPr>
                <w:lang w:val="sr-Cyrl-CS"/>
              </w:rPr>
            </w:pPr>
          </w:p>
        </w:tc>
      </w:tr>
      <w:tr w:rsidR="00F776F1" w:rsidRPr="00A22864" w:rsidTr="00F776F1">
        <w:trPr>
          <w:trHeight w:val="227"/>
          <w:jc w:val="center"/>
        </w:trPr>
        <w:tc>
          <w:tcPr>
            <w:tcW w:w="969" w:type="pct"/>
            <w:gridSpan w:val="2"/>
            <w:vAlign w:val="center"/>
          </w:tcPr>
          <w:p w:rsidR="00494424" w:rsidRDefault="00494424" w:rsidP="00975A90">
            <w:pPr>
              <w:spacing w:after="60"/>
            </w:pPr>
            <w:r>
              <w:t xml:space="preserve">Мастер </w:t>
            </w:r>
          </w:p>
        </w:tc>
        <w:tc>
          <w:tcPr>
            <w:tcW w:w="432" w:type="pct"/>
            <w:vAlign w:val="center"/>
          </w:tcPr>
          <w:p w:rsidR="00494424" w:rsidRPr="00A22864" w:rsidRDefault="009B4351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2005.</w:t>
            </w:r>
          </w:p>
        </w:tc>
        <w:tc>
          <w:tcPr>
            <w:tcW w:w="1519" w:type="pct"/>
            <w:gridSpan w:val="4"/>
            <w:vAlign w:val="center"/>
          </w:tcPr>
          <w:p w:rsidR="00494424" w:rsidRPr="00A22864" w:rsidRDefault="009B4351" w:rsidP="008E1BFA">
            <w:pPr>
              <w:spacing w:after="60"/>
              <w:rPr>
                <w:lang w:val="sr-Cyrl-CS"/>
              </w:rPr>
            </w:pPr>
            <w:r w:rsidRPr="009B4351">
              <w:rPr>
                <w:lang w:val="sr-Cyrl-CS"/>
              </w:rPr>
              <w:t>Медицински факултет, Нови Сад</w:t>
            </w:r>
          </w:p>
        </w:tc>
        <w:tc>
          <w:tcPr>
            <w:tcW w:w="2081" w:type="pct"/>
            <w:gridSpan w:val="5"/>
            <w:vAlign w:val="center"/>
          </w:tcPr>
          <w:p w:rsidR="00494424" w:rsidRPr="00A22864" w:rsidRDefault="009B4351" w:rsidP="009B4351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Кардиологија</w:t>
            </w:r>
          </w:p>
        </w:tc>
      </w:tr>
      <w:tr w:rsidR="00F776F1" w:rsidRPr="00A22864" w:rsidTr="00F776F1">
        <w:trPr>
          <w:trHeight w:val="227"/>
          <w:jc w:val="center"/>
        </w:trPr>
        <w:tc>
          <w:tcPr>
            <w:tcW w:w="969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32" w:type="pct"/>
            <w:vAlign w:val="center"/>
          </w:tcPr>
          <w:p w:rsidR="00494424" w:rsidRPr="00A22864" w:rsidRDefault="009B4351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1995.</w:t>
            </w:r>
          </w:p>
        </w:tc>
        <w:tc>
          <w:tcPr>
            <w:tcW w:w="1519" w:type="pct"/>
            <w:gridSpan w:val="4"/>
            <w:vAlign w:val="center"/>
          </w:tcPr>
          <w:p w:rsidR="00494424" w:rsidRPr="00A22864" w:rsidRDefault="009B4351" w:rsidP="008E1BFA">
            <w:pPr>
              <w:spacing w:after="60"/>
              <w:rPr>
                <w:lang w:val="sr-Cyrl-CS"/>
              </w:rPr>
            </w:pPr>
            <w:r w:rsidRPr="009B4351">
              <w:rPr>
                <w:lang w:val="sr-Cyrl-CS"/>
              </w:rPr>
              <w:t>Медицински факултет, Нови Сад</w:t>
            </w:r>
          </w:p>
        </w:tc>
        <w:tc>
          <w:tcPr>
            <w:tcW w:w="2081" w:type="pct"/>
            <w:gridSpan w:val="5"/>
            <w:vAlign w:val="center"/>
          </w:tcPr>
          <w:p w:rsidR="00494424" w:rsidRPr="00A22864" w:rsidRDefault="009B4351" w:rsidP="009B4351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Општа медицина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F776F1" w:rsidRPr="00A22864" w:rsidTr="003D76FE">
        <w:trPr>
          <w:trHeight w:val="227"/>
          <w:jc w:val="center"/>
        </w:trPr>
        <w:tc>
          <w:tcPr>
            <w:tcW w:w="349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1645" w:type="pct"/>
            <w:gridSpan w:val="3"/>
            <w:vAlign w:val="center"/>
          </w:tcPr>
          <w:p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536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41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829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F776F1" w:rsidRPr="00A22864" w:rsidTr="003D76FE">
        <w:trPr>
          <w:trHeight w:val="227"/>
          <w:jc w:val="center"/>
        </w:trPr>
        <w:tc>
          <w:tcPr>
            <w:tcW w:w="349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645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41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829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F776F1" w:rsidRPr="00A22864" w:rsidTr="003D76FE">
        <w:trPr>
          <w:trHeight w:val="227"/>
          <w:jc w:val="center"/>
        </w:trPr>
        <w:tc>
          <w:tcPr>
            <w:tcW w:w="349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645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41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829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F776F1" w:rsidRPr="00A22864" w:rsidTr="003D76FE">
        <w:trPr>
          <w:trHeight w:val="227"/>
          <w:jc w:val="center"/>
        </w:trPr>
        <w:tc>
          <w:tcPr>
            <w:tcW w:w="349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645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41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829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240" w:type="pct"/>
            <w:gridSpan w:val="8"/>
          </w:tcPr>
          <w:p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Публикација</w:t>
            </w:r>
          </w:p>
        </w:tc>
        <w:tc>
          <w:tcPr>
            <w:tcW w:w="378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47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686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FA083F" w:rsidRPr="000022A6" w:rsidRDefault="00FA083F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FA083F" w:rsidRPr="000022A6" w:rsidRDefault="009B4351" w:rsidP="009B435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9B4351">
              <w:rPr>
                <w:sz w:val="20"/>
                <w:szCs w:val="20"/>
              </w:rPr>
              <w:t>Dračina</w:t>
            </w:r>
            <w:proofErr w:type="spellEnd"/>
            <w:r w:rsidRPr="009B4351">
              <w:rPr>
                <w:sz w:val="20"/>
                <w:szCs w:val="20"/>
              </w:rPr>
              <w:t xml:space="preserve"> N, </w:t>
            </w:r>
            <w:proofErr w:type="spellStart"/>
            <w:r w:rsidRPr="009B4351">
              <w:rPr>
                <w:sz w:val="20"/>
                <w:szCs w:val="20"/>
              </w:rPr>
              <w:t>Komazec</w:t>
            </w:r>
            <w:proofErr w:type="spellEnd"/>
            <w:r w:rsidRPr="009B4351">
              <w:rPr>
                <w:sz w:val="20"/>
                <w:szCs w:val="20"/>
              </w:rPr>
              <w:t xml:space="preserve"> N, </w:t>
            </w:r>
            <w:proofErr w:type="spellStart"/>
            <w:r w:rsidRPr="009B4351">
              <w:rPr>
                <w:b/>
                <w:sz w:val="20"/>
                <w:szCs w:val="20"/>
              </w:rPr>
              <w:t>Golubović</w:t>
            </w:r>
            <w:proofErr w:type="spellEnd"/>
            <w:r w:rsidRPr="009B4351">
              <w:rPr>
                <w:b/>
                <w:sz w:val="20"/>
                <w:szCs w:val="20"/>
              </w:rPr>
              <w:t xml:space="preserve"> M</w:t>
            </w:r>
            <w:r w:rsidRPr="009B4351">
              <w:rPr>
                <w:sz w:val="20"/>
                <w:szCs w:val="20"/>
              </w:rPr>
              <w:t xml:space="preserve">, </w:t>
            </w:r>
            <w:proofErr w:type="spellStart"/>
            <w:r w:rsidRPr="009B4351">
              <w:rPr>
                <w:sz w:val="20"/>
                <w:szCs w:val="20"/>
              </w:rPr>
              <w:t>Kovačević</w:t>
            </w:r>
            <w:proofErr w:type="spellEnd"/>
            <w:r w:rsidRPr="009B4351">
              <w:rPr>
                <w:sz w:val="20"/>
                <w:szCs w:val="20"/>
              </w:rPr>
              <w:t xml:space="preserve"> M, </w:t>
            </w:r>
            <w:proofErr w:type="spellStart"/>
            <w:r w:rsidRPr="009B4351">
              <w:rPr>
                <w:sz w:val="20"/>
                <w:szCs w:val="20"/>
              </w:rPr>
              <w:t>Trajković</w:t>
            </w:r>
            <w:proofErr w:type="spellEnd"/>
            <w:r w:rsidRPr="009B4351">
              <w:rPr>
                <w:sz w:val="20"/>
                <w:szCs w:val="20"/>
              </w:rPr>
              <w:t xml:space="preserve"> M, </w:t>
            </w:r>
            <w:proofErr w:type="spellStart"/>
            <w:r w:rsidRPr="009B4351">
              <w:rPr>
                <w:sz w:val="20"/>
                <w:szCs w:val="20"/>
              </w:rPr>
              <w:t>Zdravković</w:t>
            </w:r>
            <w:proofErr w:type="spellEnd"/>
            <w:r w:rsidRPr="009B4351">
              <w:rPr>
                <w:sz w:val="20"/>
                <w:szCs w:val="20"/>
              </w:rPr>
              <w:t xml:space="preserve"> R. A rare double anomalous origin of coronary arteries with benign and malignant components, detected by computed tomography. </w:t>
            </w:r>
            <w:proofErr w:type="spellStart"/>
            <w:r w:rsidRPr="009B4351">
              <w:rPr>
                <w:sz w:val="20"/>
                <w:szCs w:val="20"/>
              </w:rPr>
              <w:t>Postepy</w:t>
            </w:r>
            <w:proofErr w:type="spellEnd"/>
            <w:r w:rsidRPr="009B4351">
              <w:rPr>
                <w:sz w:val="20"/>
                <w:szCs w:val="20"/>
              </w:rPr>
              <w:t xml:space="preserve"> </w:t>
            </w:r>
            <w:proofErr w:type="spellStart"/>
            <w:r w:rsidRPr="009B4351">
              <w:rPr>
                <w:sz w:val="20"/>
                <w:szCs w:val="20"/>
              </w:rPr>
              <w:t>Kardiol</w:t>
            </w:r>
            <w:proofErr w:type="spellEnd"/>
            <w:r w:rsidRPr="009B4351">
              <w:rPr>
                <w:sz w:val="20"/>
                <w:szCs w:val="20"/>
              </w:rPr>
              <w:t xml:space="preserve"> </w:t>
            </w:r>
            <w:proofErr w:type="spellStart"/>
            <w:r w:rsidRPr="009B4351">
              <w:rPr>
                <w:sz w:val="20"/>
                <w:szCs w:val="20"/>
              </w:rPr>
              <w:t>Interwe</w:t>
            </w:r>
            <w:r>
              <w:rPr>
                <w:sz w:val="20"/>
                <w:szCs w:val="20"/>
              </w:rPr>
              <w:t>ncyjnej</w:t>
            </w:r>
            <w:proofErr w:type="spellEnd"/>
            <w:r>
              <w:rPr>
                <w:sz w:val="20"/>
                <w:szCs w:val="20"/>
              </w:rPr>
              <w:t>. 2025 Sep 2</w:t>
            </w:r>
            <w:proofErr w:type="gramStart"/>
            <w:r>
              <w:rPr>
                <w:sz w:val="20"/>
                <w:szCs w:val="20"/>
              </w:rPr>
              <w:t>;21</w:t>
            </w:r>
            <w:proofErr w:type="gramEnd"/>
            <w:r>
              <w:rPr>
                <w:sz w:val="20"/>
                <w:szCs w:val="20"/>
              </w:rPr>
              <w:t>(3):437-</w:t>
            </w:r>
            <w:r w:rsidRPr="009B4351">
              <w:rPr>
                <w:sz w:val="20"/>
                <w:szCs w:val="20"/>
              </w:rPr>
              <w:t>8.</w:t>
            </w:r>
          </w:p>
        </w:tc>
        <w:tc>
          <w:tcPr>
            <w:tcW w:w="378" w:type="pct"/>
            <w:vAlign w:val="center"/>
          </w:tcPr>
          <w:p w:rsidR="00FA083F" w:rsidRPr="000022A6" w:rsidRDefault="00FA083F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FA083F" w:rsidRPr="009B4351" w:rsidRDefault="009B4351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22</w:t>
            </w:r>
          </w:p>
        </w:tc>
        <w:tc>
          <w:tcPr>
            <w:tcW w:w="686" w:type="pct"/>
            <w:vAlign w:val="center"/>
          </w:tcPr>
          <w:p w:rsidR="00FA083F" w:rsidRPr="009B4351" w:rsidRDefault="009B4351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1.5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FA083F" w:rsidRPr="000022A6" w:rsidRDefault="00FA083F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FA083F" w:rsidRPr="009B4351" w:rsidRDefault="009B4351" w:rsidP="009B435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Preveden A, Bandulaja M, Drljević Todić V, Zdravković R, </w:t>
            </w:r>
            <w:r>
              <w:rPr>
                <w:b/>
                <w:sz w:val="20"/>
                <w:szCs w:val="20"/>
                <w:lang/>
              </w:rPr>
              <w:t>Golubović M</w:t>
            </w:r>
            <w:r>
              <w:rPr>
                <w:sz w:val="20"/>
                <w:szCs w:val="20"/>
                <w:lang/>
              </w:rPr>
              <w:t xml:space="preserve">, Pantić T, et al. </w:t>
            </w:r>
            <w:r w:rsidRPr="009B4351">
              <w:rPr>
                <w:sz w:val="20"/>
                <w:szCs w:val="20"/>
                <w:lang/>
              </w:rPr>
              <w:t>Impact of COVID-19 Pandemic on the Diagnosis and Management of Infective Endocarditis</w:t>
            </w:r>
            <w:r>
              <w:rPr>
                <w:sz w:val="20"/>
                <w:szCs w:val="20"/>
                <w:lang/>
              </w:rPr>
              <w:t xml:space="preserve">. </w:t>
            </w:r>
            <w:r w:rsidR="008D5074">
              <w:rPr>
                <w:sz w:val="20"/>
                <w:szCs w:val="20"/>
                <w:lang/>
              </w:rPr>
              <w:t>COVID-Basel. 2025;5(8).</w:t>
            </w:r>
          </w:p>
        </w:tc>
        <w:tc>
          <w:tcPr>
            <w:tcW w:w="378" w:type="pct"/>
            <w:vAlign w:val="center"/>
          </w:tcPr>
          <w:p w:rsidR="00FA083F" w:rsidRPr="000022A6" w:rsidRDefault="00536DF4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ESCI</w:t>
            </w:r>
          </w:p>
        </w:tc>
        <w:tc>
          <w:tcPr>
            <w:tcW w:w="347" w:type="pct"/>
            <w:vAlign w:val="center"/>
          </w:tcPr>
          <w:p w:rsidR="00FA083F" w:rsidRPr="000022A6" w:rsidRDefault="008D5074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86" w:type="pct"/>
            <w:vAlign w:val="center"/>
          </w:tcPr>
          <w:p w:rsidR="00FA083F" w:rsidRPr="000022A6" w:rsidRDefault="008D5074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FA083F" w:rsidRPr="000022A6" w:rsidRDefault="00FA083F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FA083F" w:rsidRPr="000022A6" w:rsidRDefault="008D5074" w:rsidP="008D5074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8D5074">
              <w:rPr>
                <w:sz w:val="20"/>
                <w:szCs w:val="20"/>
              </w:rPr>
              <w:t>Rosi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8D5074">
              <w:rPr>
                <w:sz w:val="20"/>
                <w:szCs w:val="20"/>
              </w:rPr>
              <w:t xml:space="preserve"> M, </w:t>
            </w:r>
            <w:proofErr w:type="spellStart"/>
            <w:r w:rsidRPr="008D5074">
              <w:rPr>
                <w:sz w:val="20"/>
                <w:szCs w:val="20"/>
              </w:rPr>
              <w:t>Zdravkovi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8D5074">
              <w:rPr>
                <w:sz w:val="20"/>
                <w:szCs w:val="20"/>
              </w:rPr>
              <w:t xml:space="preserve"> R, </w:t>
            </w:r>
            <w:proofErr w:type="spellStart"/>
            <w:r w:rsidRPr="008D5074">
              <w:rPr>
                <w:b/>
                <w:sz w:val="20"/>
                <w:szCs w:val="20"/>
              </w:rPr>
              <w:t>Golubović</w:t>
            </w:r>
            <w:proofErr w:type="spellEnd"/>
            <w:r w:rsidRPr="008D5074">
              <w:rPr>
                <w:b/>
                <w:sz w:val="20"/>
                <w:szCs w:val="20"/>
              </w:rPr>
              <w:t xml:space="preserve"> M</w:t>
            </w:r>
            <w:r w:rsidRPr="008D5074">
              <w:rPr>
                <w:sz w:val="20"/>
                <w:szCs w:val="20"/>
              </w:rPr>
              <w:t xml:space="preserve">, </w:t>
            </w:r>
            <w:proofErr w:type="spellStart"/>
            <w:r w:rsidRPr="008D5074">
              <w:rPr>
                <w:sz w:val="20"/>
                <w:szCs w:val="20"/>
              </w:rPr>
              <w:t>Komazec</w:t>
            </w:r>
            <w:proofErr w:type="spellEnd"/>
            <w:r w:rsidRPr="008D5074">
              <w:rPr>
                <w:sz w:val="20"/>
                <w:szCs w:val="20"/>
              </w:rPr>
              <w:t xml:space="preserve"> N, </w:t>
            </w:r>
            <w:proofErr w:type="spellStart"/>
            <w:r w:rsidRPr="008D5074">
              <w:rPr>
                <w:sz w:val="20"/>
                <w:szCs w:val="20"/>
              </w:rPr>
              <w:t>Mrvi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8D5074">
              <w:rPr>
                <w:sz w:val="20"/>
                <w:szCs w:val="20"/>
              </w:rPr>
              <w:t xml:space="preserve"> S, </w:t>
            </w:r>
            <w:proofErr w:type="spellStart"/>
            <w:r w:rsidRPr="008D5074">
              <w:rPr>
                <w:sz w:val="20"/>
                <w:szCs w:val="20"/>
              </w:rPr>
              <w:t>Rosi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8D5074">
              <w:rPr>
                <w:sz w:val="20"/>
                <w:szCs w:val="20"/>
              </w:rPr>
              <w:t xml:space="preserve"> V. Giant left main coronary artery to right atrium fistula: an extremely rare cause of fainting and palpitations. </w:t>
            </w:r>
            <w:proofErr w:type="spellStart"/>
            <w:r w:rsidRPr="008D5074">
              <w:rPr>
                <w:sz w:val="20"/>
                <w:szCs w:val="20"/>
              </w:rPr>
              <w:t>Postepy</w:t>
            </w:r>
            <w:proofErr w:type="spellEnd"/>
            <w:r w:rsidRPr="008D5074">
              <w:rPr>
                <w:sz w:val="20"/>
                <w:szCs w:val="20"/>
              </w:rPr>
              <w:t xml:space="preserve"> </w:t>
            </w:r>
            <w:proofErr w:type="spellStart"/>
            <w:r w:rsidRPr="008D5074">
              <w:rPr>
                <w:sz w:val="20"/>
                <w:szCs w:val="20"/>
              </w:rPr>
              <w:t>Kardiol</w:t>
            </w:r>
            <w:proofErr w:type="spellEnd"/>
            <w:r w:rsidRPr="008D5074">
              <w:rPr>
                <w:sz w:val="20"/>
                <w:szCs w:val="20"/>
              </w:rPr>
              <w:t xml:space="preserve"> </w:t>
            </w:r>
            <w:proofErr w:type="spellStart"/>
            <w:r w:rsidRPr="008D5074">
              <w:rPr>
                <w:sz w:val="20"/>
                <w:szCs w:val="20"/>
              </w:rPr>
              <w:t>Inter</w:t>
            </w:r>
            <w:r>
              <w:rPr>
                <w:sz w:val="20"/>
                <w:szCs w:val="20"/>
              </w:rPr>
              <w:t>wencyjnej</w:t>
            </w:r>
            <w:proofErr w:type="spellEnd"/>
            <w:r>
              <w:rPr>
                <w:sz w:val="20"/>
                <w:szCs w:val="20"/>
              </w:rPr>
              <w:t>. 2025 Mar</w:t>
            </w:r>
            <w:proofErr w:type="gramStart"/>
            <w:r>
              <w:rPr>
                <w:sz w:val="20"/>
                <w:szCs w:val="20"/>
              </w:rPr>
              <w:t>;21</w:t>
            </w:r>
            <w:proofErr w:type="gramEnd"/>
            <w:r>
              <w:rPr>
                <w:sz w:val="20"/>
                <w:szCs w:val="20"/>
              </w:rPr>
              <w:t>(1):125-</w:t>
            </w:r>
            <w:r w:rsidRPr="008D507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8" w:type="pct"/>
            <w:vAlign w:val="center"/>
          </w:tcPr>
          <w:p w:rsidR="00FA083F" w:rsidRPr="000022A6" w:rsidRDefault="00FA083F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FA083F" w:rsidRPr="000022A6" w:rsidRDefault="008D5074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6" w:type="pct"/>
            <w:vAlign w:val="center"/>
          </w:tcPr>
          <w:p w:rsidR="00FA083F" w:rsidRPr="000022A6" w:rsidRDefault="008D5074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FA083F" w:rsidRPr="000022A6" w:rsidRDefault="00FA083F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FA083F" w:rsidRPr="000022A6" w:rsidRDefault="00A53935" w:rsidP="00A53935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A53935">
              <w:rPr>
                <w:sz w:val="20"/>
                <w:szCs w:val="20"/>
              </w:rPr>
              <w:t>Rosi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A53935">
              <w:rPr>
                <w:sz w:val="20"/>
                <w:szCs w:val="20"/>
              </w:rPr>
              <w:t xml:space="preserve"> M, </w:t>
            </w:r>
            <w:proofErr w:type="spellStart"/>
            <w:r w:rsidRPr="00A53935">
              <w:rPr>
                <w:b/>
                <w:sz w:val="20"/>
                <w:szCs w:val="20"/>
              </w:rPr>
              <w:t>Golubović</w:t>
            </w:r>
            <w:proofErr w:type="spellEnd"/>
            <w:r w:rsidRPr="00A53935">
              <w:rPr>
                <w:b/>
                <w:sz w:val="20"/>
                <w:szCs w:val="20"/>
              </w:rPr>
              <w:t xml:space="preserve"> M</w:t>
            </w:r>
            <w:r w:rsidRPr="00A53935">
              <w:rPr>
                <w:sz w:val="20"/>
                <w:szCs w:val="20"/>
              </w:rPr>
              <w:t xml:space="preserve">, </w:t>
            </w:r>
            <w:proofErr w:type="spellStart"/>
            <w:r w:rsidRPr="00A53935">
              <w:rPr>
                <w:sz w:val="20"/>
                <w:szCs w:val="20"/>
              </w:rPr>
              <w:t>Todi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A53935">
              <w:rPr>
                <w:sz w:val="20"/>
                <w:szCs w:val="20"/>
              </w:rPr>
              <w:t xml:space="preserve"> M, </w:t>
            </w:r>
            <w:proofErr w:type="spellStart"/>
            <w:r w:rsidRPr="00A53935">
              <w:rPr>
                <w:sz w:val="20"/>
                <w:szCs w:val="20"/>
              </w:rPr>
              <w:t>Koruga</w:t>
            </w:r>
            <w:proofErr w:type="spellEnd"/>
            <w:r w:rsidRPr="00A53935">
              <w:rPr>
                <w:sz w:val="20"/>
                <w:szCs w:val="20"/>
              </w:rPr>
              <w:t xml:space="preserve"> S, </w:t>
            </w:r>
            <w:proofErr w:type="spellStart"/>
            <w:r w:rsidRPr="00A53935">
              <w:rPr>
                <w:sz w:val="20"/>
                <w:szCs w:val="20"/>
              </w:rPr>
              <w:t>Komazec</w:t>
            </w:r>
            <w:proofErr w:type="spellEnd"/>
            <w:r w:rsidRPr="00A53935">
              <w:rPr>
                <w:sz w:val="20"/>
                <w:szCs w:val="20"/>
              </w:rPr>
              <w:t xml:space="preserve"> N, </w:t>
            </w:r>
            <w:proofErr w:type="spellStart"/>
            <w:r w:rsidRPr="00A53935">
              <w:rPr>
                <w:sz w:val="20"/>
                <w:szCs w:val="20"/>
              </w:rPr>
              <w:t>Zdravkovi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A53935">
              <w:rPr>
                <w:sz w:val="20"/>
                <w:szCs w:val="20"/>
              </w:rPr>
              <w:t xml:space="preserve"> R. Partial </w:t>
            </w:r>
            <w:proofErr w:type="spellStart"/>
            <w:r w:rsidRPr="00A53935">
              <w:rPr>
                <w:sz w:val="20"/>
                <w:szCs w:val="20"/>
              </w:rPr>
              <w:t>atrioventricular</w:t>
            </w:r>
            <w:proofErr w:type="spellEnd"/>
            <w:r w:rsidRPr="00A53935">
              <w:rPr>
                <w:sz w:val="20"/>
                <w:szCs w:val="20"/>
              </w:rPr>
              <w:t xml:space="preserve"> </w:t>
            </w:r>
            <w:proofErr w:type="spellStart"/>
            <w:r w:rsidRPr="00A53935">
              <w:rPr>
                <w:sz w:val="20"/>
                <w:szCs w:val="20"/>
              </w:rPr>
              <w:t>septal</w:t>
            </w:r>
            <w:proofErr w:type="spellEnd"/>
            <w:r w:rsidRPr="00A53935">
              <w:rPr>
                <w:sz w:val="20"/>
                <w:szCs w:val="20"/>
              </w:rPr>
              <w:t xml:space="preserve"> defect: An unexpected anomaly in a 68-year-old patient. </w:t>
            </w:r>
            <w:proofErr w:type="spellStart"/>
            <w:r w:rsidRPr="00A53935">
              <w:rPr>
                <w:sz w:val="20"/>
                <w:szCs w:val="20"/>
              </w:rPr>
              <w:t>Kardiol</w:t>
            </w:r>
            <w:proofErr w:type="spellEnd"/>
            <w:r w:rsidRPr="00A53935">
              <w:rPr>
                <w:sz w:val="20"/>
                <w:szCs w:val="20"/>
              </w:rPr>
              <w:t xml:space="preserve"> Pol. 2025</w:t>
            </w:r>
            <w:proofErr w:type="gramStart"/>
            <w:r w:rsidRPr="00A53935">
              <w:rPr>
                <w:sz w:val="20"/>
                <w:szCs w:val="20"/>
              </w:rPr>
              <w:t>;83</w:t>
            </w:r>
            <w:proofErr w:type="gramEnd"/>
            <w:r w:rsidRPr="00A53935">
              <w:rPr>
                <w:sz w:val="20"/>
                <w:szCs w:val="20"/>
              </w:rPr>
              <w:t>(1):98-100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8" w:type="pct"/>
            <w:vAlign w:val="center"/>
          </w:tcPr>
          <w:p w:rsidR="00FA083F" w:rsidRPr="000022A6" w:rsidRDefault="00FA083F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FA083F" w:rsidRPr="000022A6" w:rsidRDefault="00A53935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6" w:type="pct"/>
            <w:vAlign w:val="center"/>
          </w:tcPr>
          <w:p w:rsidR="00FA083F" w:rsidRPr="000022A6" w:rsidRDefault="00A53935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FA083F" w:rsidRPr="000022A6" w:rsidRDefault="00FA083F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FA083F" w:rsidRPr="000022A6" w:rsidRDefault="00A53935" w:rsidP="00A53935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A53935">
              <w:rPr>
                <w:sz w:val="20"/>
                <w:szCs w:val="20"/>
              </w:rPr>
              <w:t>Petrović</w:t>
            </w:r>
            <w:proofErr w:type="spellEnd"/>
            <w:r w:rsidRPr="00A53935">
              <w:rPr>
                <w:sz w:val="20"/>
                <w:szCs w:val="20"/>
              </w:rPr>
              <w:t xml:space="preserve"> M, </w:t>
            </w:r>
            <w:proofErr w:type="spellStart"/>
            <w:r w:rsidRPr="00A53935">
              <w:rPr>
                <w:sz w:val="20"/>
                <w:szCs w:val="20"/>
              </w:rPr>
              <w:t>Miljković</w:t>
            </w:r>
            <w:proofErr w:type="spellEnd"/>
            <w:r w:rsidRPr="00A53935">
              <w:rPr>
                <w:sz w:val="20"/>
                <w:szCs w:val="20"/>
              </w:rPr>
              <w:t xml:space="preserve"> T, </w:t>
            </w:r>
            <w:proofErr w:type="spellStart"/>
            <w:r w:rsidRPr="00A53935">
              <w:rPr>
                <w:sz w:val="20"/>
                <w:szCs w:val="20"/>
              </w:rPr>
              <w:t>Ilić</w:t>
            </w:r>
            <w:proofErr w:type="spellEnd"/>
            <w:r w:rsidRPr="00A53935">
              <w:rPr>
                <w:sz w:val="20"/>
                <w:szCs w:val="20"/>
              </w:rPr>
              <w:t xml:space="preserve"> A, </w:t>
            </w:r>
            <w:proofErr w:type="spellStart"/>
            <w:r w:rsidRPr="00A53935">
              <w:rPr>
                <w:sz w:val="20"/>
                <w:szCs w:val="20"/>
              </w:rPr>
              <w:t>Kovačević</w:t>
            </w:r>
            <w:proofErr w:type="spellEnd"/>
            <w:r w:rsidRPr="00A53935">
              <w:rPr>
                <w:sz w:val="20"/>
                <w:szCs w:val="20"/>
              </w:rPr>
              <w:t xml:space="preserve"> M, </w:t>
            </w:r>
            <w:proofErr w:type="spellStart"/>
            <w:r w:rsidRPr="00A53935">
              <w:rPr>
                <w:sz w:val="20"/>
                <w:szCs w:val="20"/>
              </w:rPr>
              <w:t>Čanković</w:t>
            </w:r>
            <w:proofErr w:type="spellEnd"/>
            <w:r w:rsidRPr="00A53935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, et al…</w:t>
            </w:r>
            <w:proofErr w:type="spellStart"/>
            <w:r w:rsidRPr="00A53935">
              <w:rPr>
                <w:b/>
                <w:sz w:val="20"/>
                <w:szCs w:val="20"/>
              </w:rPr>
              <w:t>Golubović</w:t>
            </w:r>
            <w:proofErr w:type="spellEnd"/>
            <w:r w:rsidRPr="00A53935">
              <w:rPr>
                <w:b/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..</w:t>
            </w:r>
            <w:r w:rsidRPr="00A53935">
              <w:rPr>
                <w:sz w:val="20"/>
                <w:szCs w:val="20"/>
              </w:rPr>
              <w:t xml:space="preserve">. Management and outcomes of spontaneous coronary artery dissection: a systematic review of the literature. Front </w:t>
            </w:r>
            <w:proofErr w:type="spellStart"/>
            <w:r w:rsidRPr="00A53935">
              <w:rPr>
                <w:sz w:val="20"/>
                <w:szCs w:val="20"/>
              </w:rPr>
              <w:t>Cardiovasc</w:t>
            </w:r>
            <w:proofErr w:type="spellEnd"/>
            <w:r w:rsidRPr="00A53935">
              <w:rPr>
                <w:sz w:val="20"/>
                <w:szCs w:val="20"/>
              </w:rPr>
              <w:t xml:space="preserve"> Med. 2024 Jan 16</w:t>
            </w:r>
            <w:proofErr w:type="gramStart"/>
            <w:r w:rsidRPr="00A53935">
              <w:rPr>
                <w:sz w:val="20"/>
                <w:szCs w:val="20"/>
              </w:rPr>
              <w:t>;11:1276521</w:t>
            </w:r>
            <w:proofErr w:type="gramEnd"/>
            <w:r w:rsidRPr="00A53935">
              <w:rPr>
                <w:sz w:val="20"/>
                <w:szCs w:val="20"/>
              </w:rPr>
              <w:t>.</w:t>
            </w:r>
          </w:p>
        </w:tc>
        <w:tc>
          <w:tcPr>
            <w:tcW w:w="378" w:type="pct"/>
            <w:vAlign w:val="center"/>
          </w:tcPr>
          <w:p w:rsidR="00FA083F" w:rsidRPr="000022A6" w:rsidRDefault="00FA083F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FA083F" w:rsidRPr="000022A6" w:rsidRDefault="00A53935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6" w:type="pct"/>
            <w:vAlign w:val="center"/>
          </w:tcPr>
          <w:p w:rsidR="00FA083F" w:rsidRPr="000022A6" w:rsidRDefault="00A53935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FA083F" w:rsidRPr="000022A6" w:rsidRDefault="00FA083F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FA083F" w:rsidRPr="00BA32CB" w:rsidRDefault="00BA32CB" w:rsidP="009B435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Stojaković</w:t>
            </w:r>
            <w:proofErr w:type="spellEnd"/>
            <w:r>
              <w:rPr>
                <w:sz w:val="20"/>
                <w:szCs w:val="20"/>
              </w:rPr>
              <w:t xml:space="preserve"> N, </w:t>
            </w:r>
            <w:proofErr w:type="spellStart"/>
            <w:r>
              <w:rPr>
                <w:sz w:val="20"/>
                <w:szCs w:val="20"/>
              </w:rPr>
              <w:t>Mihajlović</w:t>
            </w:r>
            <w:proofErr w:type="spellEnd"/>
            <w:r>
              <w:rPr>
                <w:sz w:val="20"/>
                <w:szCs w:val="20"/>
              </w:rPr>
              <w:t xml:space="preserve"> B, </w:t>
            </w:r>
            <w:proofErr w:type="spellStart"/>
            <w:r>
              <w:rPr>
                <w:sz w:val="20"/>
                <w:szCs w:val="20"/>
              </w:rPr>
              <w:t>Niković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sz w:val="20"/>
                <w:szCs w:val="20"/>
              </w:rPr>
              <w:t>Rajić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sz w:val="20"/>
                <w:szCs w:val="20"/>
              </w:rPr>
              <w:t>Vučković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b/>
                <w:sz w:val="20"/>
                <w:szCs w:val="20"/>
              </w:rPr>
              <w:t>Golubović</w:t>
            </w:r>
            <w:proofErr w:type="spellEnd"/>
            <w:r>
              <w:rPr>
                <w:b/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 xml:space="preserve">, et al. </w:t>
            </w:r>
            <w:r w:rsidRPr="00BA32CB">
              <w:rPr>
                <w:sz w:val="20"/>
                <w:szCs w:val="20"/>
              </w:rPr>
              <w:t xml:space="preserve">Cardiac surgery intensive care unit nursing workload assessment using </w:t>
            </w:r>
            <w:r w:rsidRPr="00BA32CB">
              <w:rPr>
                <w:sz w:val="20"/>
                <w:szCs w:val="20"/>
              </w:rPr>
              <w:lastRenderedPageBreak/>
              <w:t>Nursing Activities Score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Srp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Lek</w:t>
            </w:r>
            <w:proofErr w:type="spellEnd"/>
            <w:r>
              <w:rPr>
                <w:sz w:val="20"/>
                <w:szCs w:val="20"/>
              </w:rPr>
              <w:t>. 2023</w:t>
            </w:r>
            <w:proofErr w:type="gramStart"/>
            <w:r>
              <w:rPr>
                <w:sz w:val="20"/>
                <w:szCs w:val="20"/>
              </w:rPr>
              <w:t>;151</w:t>
            </w:r>
            <w:proofErr w:type="gramEnd"/>
            <w:r>
              <w:rPr>
                <w:sz w:val="20"/>
                <w:szCs w:val="20"/>
              </w:rPr>
              <w:t>(7-8):447-52.</w:t>
            </w:r>
          </w:p>
        </w:tc>
        <w:tc>
          <w:tcPr>
            <w:tcW w:w="378" w:type="pct"/>
            <w:vAlign w:val="center"/>
          </w:tcPr>
          <w:p w:rsidR="00FA083F" w:rsidRPr="000022A6" w:rsidRDefault="00FA083F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FA083F" w:rsidRPr="000022A6" w:rsidRDefault="00BA32CB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86" w:type="pct"/>
            <w:vAlign w:val="center"/>
          </w:tcPr>
          <w:p w:rsidR="00FA083F" w:rsidRPr="000022A6" w:rsidRDefault="00BA32CB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BA32CB">
              <w:rPr>
                <w:sz w:val="20"/>
                <w:szCs w:val="20"/>
              </w:rPr>
              <w:t>0.265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FA083F" w:rsidRPr="000022A6" w:rsidRDefault="00FA083F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FA083F" w:rsidRPr="000022A6" w:rsidRDefault="00BA32CB" w:rsidP="00BA32CB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BA32CB">
              <w:rPr>
                <w:sz w:val="20"/>
                <w:szCs w:val="20"/>
              </w:rPr>
              <w:t>Zdravkovi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A32CB">
              <w:rPr>
                <w:sz w:val="20"/>
                <w:szCs w:val="20"/>
              </w:rPr>
              <w:t xml:space="preserve"> R, </w:t>
            </w:r>
            <w:proofErr w:type="spellStart"/>
            <w:r w:rsidRPr="00BA32CB">
              <w:rPr>
                <w:sz w:val="20"/>
                <w:szCs w:val="20"/>
              </w:rPr>
              <w:t>Red</w:t>
            </w:r>
            <w:r>
              <w:rPr>
                <w:sz w:val="20"/>
                <w:szCs w:val="20"/>
              </w:rPr>
              <w:t>ž</w:t>
            </w:r>
            <w:r w:rsidRPr="00BA32CB">
              <w:rPr>
                <w:sz w:val="20"/>
                <w:szCs w:val="20"/>
              </w:rPr>
              <w:t>ek</w:t>
            </w:r>
            <w:proofErr w:type="spellEnd"/>
            <w:r w:rsidRPr="00BA32CB">
              <w:rPr>
                <w:sz w:val="20"/>
                <w:szCs w:val="20"/>
              </w:rPr>
              <w:t xml:space="preserve"> A, </w:t>
            </w:r>
            <w:proofErr w:type="spellStart"/>
            <w:r w:rsidRPr="00BA32CB">
              <w:rPr>
                <w:sz w:val="20"/>
                <w:szCs w:val="20"/>
              </w:rPr>
              <w:t>Vickovi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A32CB">
              <w:rPr>
                <w:sz w:val="20"/>
                <w:szCs w:val="20"/>
              </w:rPr>
              <w:t xml:space="preserve"> S, </w:t>
            </w:r>
            <w:proofErr w:type="spellStart"/>
            <w:r w:rsidRPr="00BA32CB">
              <w:rPr>
                <w:b/>
                <w:sz w:val="20"/>
                <w:szCs w:val="20"/>
              </w:rPr>
              <w:t>Golubović</w:t>
            </w:r>
            <w:proofErr w:type="spellEnd"/>
            <w:r w:rsidRPr="00BA32CB">
              <w:rPr>
                <w:b/>
                <w:sz w:val="20"/>
                <w:szCs w:val="20"/>
              </w:rPr>
              <w:t xml:space="preserve"> M</w:t>
            </w:r>
            <w:r w:rsidRPr="00BA32CB">
              <w:rPr>
                <w:sz w:val="20"/>
                <w:szCs w:val="20"/>
              </w:rPr>
              <w:t xml:space="preserve">, </w:t>
            </w:r>
            <w:proofErr w:type="spellStart"/>
            <w:r w:rsidRPr="00BA32CB">
              <w:rPr>
                <w:sz w:val="20"/>
                <w:szCs w:val="20"/>
              </w:rPr>
              <w:t>Preveden</w:t>
            </w:r>
            <w:proofErr w:type="spellEnd"/>
            <w:r w:rsidRPr="00BA32CB">
              <w:rPr>
                <w:sz w:val="20"/>
                <w:szCs w:val="20"/>
              </w:rPr>
              <w:t xml:space="preserve"> M, </w:t>
            </w:r>
            <w:proofErr w:type="spellStart"/>
            <w:r w:rsidRPr="00BA32CB">
              <w:rPr>
                <w:sz w:val="20"/>
                <w:szCs w:val="20"/>
              </w:rPr>
              <w:t>Todi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A32CB">
              <w:rPr>
                <w:sz w:val="20"/>
                <w:szCs w:val="20"/>
              </w:rPr>
              <w:t xml:space="preserve"> M, </w:t>
            </w:r>
            <w:r>
              <w:rPr>
                <w:sz w:val="20"/>
                <w:szCs w:val="20"/>
              </w:rPr>
              <w:t>et al</w:t>
            </w:r>
            <w:r w:rsidRPr="00BA32CB">
              <w:rPr>
                <w:sz w:val="20"/>
                <w:szCs w:val="20"/>
              </w:rPr>
              <w:t xml:space="preserve">. Isolated persistent left superior vena cava associated with anomalous left hepatic vein drainage into the right atrium accidentally discovered after </w:t>
            </w:r>
            <w:proofErr w:type="spellStart"/>
            <w:r w:rsidRPr="00BA32CB">
              <w:rPr>
                <w:sz w:val="20"/>
                <w:szCs w:val="20"/>
              </w:rPr>
              <w:t>sternotomy</w:t>
            </w:r>
            <w:proofErr w:type="spellEnd"/>
            <w:r w:rsidRPr="00BA32CB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Kardiol</w:t>
            </w:r>
            <w:proofErr w:type="spellEnd"/>
            <w:r>
              <w:rPr>
                <w:sz w:val="20"/>
                <w:szCs w:val="20"/>
              </w:rPr>
              <w:t xml:space="preserve"> Pol. 2023</w:t>
            </w:r>
            <w:proofErr w:type="gramStart"/>
            <w:r>
              <w:rPr>
                <w:sz w:val="20"/>
                <w:szCs w:val="20"/>
              </w:rPr>
              <w:t>;81</w:t>
            </w:r>
            <w:proofErr w:type="gramEnd"/>
            <w:r>
              <w:rPr>
                <w:sz w:val="20"/>
                <w:szCs w:val="20"/>
              </w:rPr>
              <w:t>(7-8):788-</w:t>
            </w:r>
            <w:r w:rsidRPr="00BA32CB">
              <w:rPr>
                <w:sz w:val="20"/>
                <w:szCs w:val="20"/>
              </w:rPr>
              <w:t>9.</w:t>
            </w:r>
          </w:p>
        </w:tc>
        <w:tc>
          <w:tcPr>
            <w:tcW w:w="378" w:type="pct"/>
            <w:vAlign w:val="center"/>
          </w:tcPr>
          <w:p w:rsidR="00FA083F" w:rsidRPr="000022A6" w:rsidRDefault="00FA083F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FA083F" w:rsidRPr="000022A6" w:rsidRDefault="00BA32CB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6" w:type="pct"/>
            <w:vAlign w:val="center"/>
          </w:tcPr>
          <w:p w:rsidR="00FA083F" w:rsidRPr="000022A6" w:rsidRDefault="00BA32CB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BA32CB">
              <w:rPr>
                <w:sz w:val="20"/>
                <w:szCs w:val="20"/>
              </w:rPr>
              <w:t>4.686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FA083F" w:rsidRPr="000022A6" w:rsidRDefault="00FA083F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FA083F" w:rsidRPr="000022A6" w:rsidRDefault="00BA32CB" w:rsidP="00BA32CB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BA32CB">
              <w:rPr>
                <w:sz w:val="20"/>
                <w:szCs w:val="20"/>
              </w:rPr>
              <w:t>Raji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A32CB">
              <w:rPr>
                <w:sz w:val="20"/>
                <w:szCs w:val="20"/>
              </w:rPr>
              <w:t xml:space="preserve"> J, </w:t>
            </w:r>
            <w:proofErr w:type="spellStart"/>
            <w:r w:rsidRPr="00BA32CB">
              <w:rPr>
                <w:sz w:val="20"/>
                <w:szCs w:val="20"/>
              </w:rPr>
              <w:t>Zdravkovi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A32CB">
              <w:rPr>
                <w:sz w:val="20"/>
                <w:szCs w:val="20"/>
              </w:rPr>
              <w:t xml:space="preserve"> R, </w:t>
            </w:r>
            <w:proofErr w:type="spellStart"/>
            <w:r w:rsidRPr="00BA32CB">
              <w:rPr>
                <w:sz w:val="20"/>
                <w:szCs w:val="20"/>
              </w:rPr>
              <w:t>Red</w:t>
            </w:r>
            <w:r>
              <w:rPr>
                <w:sz w:val="20"/>
                <w:szCs w:val="20"/>
              </w:rPr>
              <w:t>ž</w:t>
            </w:r>
            <w:r w:rsidRPr="00BA32CB">
              <w:rPr>
                <w:sz w:val="20"/>
                <w:szCs w:val="20"/>
              </w:rPr>
              <w:t>ek</w:t>
            </w:r>
            <w:proofErr w:type="spellEnd"/>
            <w:r w:rsidRPr="00BA32CB">
              <w:rPr>
                <w:sz w:val="20"/>
                <w:szCs w:val="20"/>
              </w:rPr>
              <w:t xml:space="preserve"> A, </w:t>
            </w:r>
            <w:proofErr w:type="spellStart"/>
            <w:r w:rsidRPr="00BA32CB">
              <w:rPr>
                <w:b/>
                <w:sz w:val="20"/>
                <w:szCs w:val="20"/>
              </w:rPr>
              <w:t>Golubović</w:t>
            </w:r>
            <w:proofErr w:type="spellEnd"/>
            <w:r w:rsidRPr="00BA32CB">
              <w:rPr>
                <w:b/>
                <w:sz w:val="20"/>
                <w:szCs w:val="20"/>
              </w:rPr>
              <w:t xml:space="preserve"> M</w:t>
            </w:r>
            <w:r w:rsidRPr="00BA32CB">
              <w:rPr>
                <w:sz w:val="20"/>
                <w:szCs w:val="20"/>
              </w:rPr>
              <w:t xml:space="preserve">, </w:t>
            </w:r>
            <w:proofErr w:type="spellStart"/>
            <w:r w:rsidRPr="00BA32CB">
              <w:rPr>
                <w:sz w:val="20"/>
                <w:szCs w:val="20"/>
              </w:rPr>
              <w:t>Bjeljac</w:t>
            </w:r>
            <w:proofErr w:type="spellEnd"/>
            <w:r w:rsidRPr="00BA32CB">
              <w:rPr>
                <w:sz w:val="20"/>
                <w:szCs w:val="20"/>
              </w:rPr>
              <w:t xml:space="preserve"> I, </w:t>
            </w:r>
            <w:proofErr w:type="spellStart"/>
            <w:r w:rsidRPr="00BA32CB">
              <w:rPr>
                <w:sz w:val="20"/>
                <w:szCs w:val="20"/>
              </w:rPr>
              <w:t>Todi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A32CB">
              <w:rPr>
                <w:sz w:val="20"/>
                <w:szCs w:val="20"/>
              </w:rPr>
              <w:t xml:space="preserve"> M, </w:t>
            </w:r>
            <w:r>
              <w:rPr>
                <w:sz w:val="20"/>
                <w:szCs w:val="20"/>
              </w:rPr>
              <w:t>et al</w:t>
            </w:r>
            <w:r w:rsidRPr="00BA32CB">
              <w:rPr>
                <w:sz w:val="20"/>
                <w:szCs w:val="20"/>
              </w:rPr>
              <w:t xml:space="preserve">. Genuine </w:t>
            </w:r>
            <w:proofErr w:type="spellStart"/>
            <w:r w:rsidRPr="00BA32CB">
              <w:rPr>
                <w:sz w:val="20"/>
                <w:szCs w:val="20"/>
              </w:rPr>
              <w:t>biatrial</w:t>
            </w:r>
            <w:proofErr w:type="spellEnd"/>
            <w:r w:rsidRPr="00BA32CB">
              <w:rPr>
                <w:sz w:val="20"/>
                <w:szCs w:val="20"/>
              </w:rPr>
              <w:t xml:space="preserve"> </w:t>
            </w:r>
            <w:proofErr w:type="spellStart"/>
            <w:r w:rsidRPr="00BA32CB">
              <w:rPr>
                <w:sz w:val="20"/>
                <w:szCs w:val="20"/>
              </w:rPr>
              <w:t>myxoma</w:t>
            </w:r>
            <w:proofErr w:type="spellEnd"/>
            <w:r w:rsidRPr="00BA32CB">
              <w:rPr>
                <w:sz w:val="20"/>
                <w:szCs w:val="20"/>
              </w:rPr>
              <w:t xml:space="preserve">: The rarest form of </w:t>
            </w:r>
            <w:proofErr w:type="spellStart"/>
            <w:r w:rsidRPr="00BA32CB">
              <w:rPr>
                <w:sz w:val="20"/>
                <w:szCs w:val="20"/>
              </w:rPr>
              <w:t>myxoma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Kardiol</w:t>
            </w:r>
            <w:proofErr w:type="spellEnd"/>
            <w:r>
              <w:rPr>
                <w:sz w:val="20"/>
                <w:szCs w:val="20"/>
              </w:rPr>
              <w:t xml:space="preserve"> Pol. 2023</w:t>
            </w:r>
            <w:proofErr w:type="gramStart"/>
            <w:r>
              <w:rPr>
                <w:sz w:val="20"/>
                <w:szCs w:val="20"/>
              </w:rPr>
              <w:t>;81</w:t>
            </w:r>
            <w:proofErr w:type="gramEnd"/>
            <w:r>
              <w:rPr>
                <w:sz w:val="20"/>
                <w:szCs w:val="20"/>
              </w:rPr>
              <w:t>(2):184-</w:t>
            </w:r>
            <w:r w:rsidRPr="00BA32CB">
              <w:rPr>
                <w:sz w:val="20"/>
                <w:szCs w:val="20"/>
              </w:rPr>
              <w:t>5.</w:t>
            </w:r>
          </w:p>
        </w:tc>
        <w:tc>
          <w:tcPr>
            <w:tcW w:w="378" w:type="pct"/>
            <w:vAlign w:val="center"/>
          </w:tcPr>
          <w:p w:rsidR="00FA083F" w:rsidRPr="000022A6" w:rsidRDefault="00FA083F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FA083F" w:rsidRPr="000022A6" w:rsidRDefault="00BA32CB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6" w:type="pct"/>
            <w:vAlign w:val="center"/>
          </w:tcPr>
          <w:p w:rsidR="00FA083F" w:rsidRPr="000022A6" w:rsidRDefault="00BA32CB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BA32CB">
              <w:rPr>
                <w:sz w:val="20"/>
                <w:szCs w:val="20"/>
              </w:rPr>
              <w:t>4.686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FA083F" w:rsidRPr="000022A6" w:rsidRDefault="00FA083F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FA083F" w:rsidRPr="00BA32CB" w:rsidRDefault="00BA32CB" w:rsidP="00BA32CB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Golubović</w:t>
            </w:r>
            <w:proofErr w:type="spellEnd"/>
            <w:r>
              <w:rPr>
                <w:b/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Dračina</w:t>
            </w:r>
            <w:proofErr w:type="spellEnd"/>
            <w:r>
              <w:rPr>
                <w:sz w:val="20"/>
                <w:szCs w:val="20"/>
              </w:rPr>
              <w:t xml:space="preserve"> N, </w:t>
            </w:r>
            <w:proofErr w:type="spellStart"/>
            <w:r>
              <w:rPr>
                <w:sz w:val="20"/>
                <w:szCs w:val="20"/>
              </w:rPr>
              <w:t>Preveden</w:t>
            </w:r>
            <w:proofErr w:type="spellEnd"/>
            <w:r>
              <w:rPr>
                <w:sz w:val="20"/>
                <w:szCs w:val="20"/>
              </w:rPr>
              <w:t xml:space="preserve"> A, </w:t>
            </w:r>
            <w:proofErr w:type="spellStart"/>
            <w:r>
              <w:rPr>
                <w:sz w:val="20"/>
                <w:szCs w:val="20"/>
              </w:rPr>
              <w:t>Zdravković</w:t>
            </w:r>
            <w:proofErr w:type="spellEnd"/>
            <w:r>
              <w:rPr>
                <w:sz w:val="20"/>
                <w:szCs w:val="20"/>
              </w:rPr>
              <w:t xml:space="preserve"> R, </w:t>
            </w:r>
            <w:proofErr w:type="spellStart"/>
            <w:r>
              <w:rPr>
                <w:sz w:val="20"/>
                <w:szCs w:val="20"/>
              </w:rPr>
              <w:t>Batranović</w:t>
            </w:r>
            <w:proofErr w:type="spellEnd"/>
            <w:r>
              <w:rPr>
                <w:sz w:val="20"/>
                <w:szCs w:val="20"/>
              </w:rPr>
              <w:t xml:space="preserve"> U, </w:t>
            </w:r>
            <w:proofErr w:type="spellStart"/>
            <w:r>
              <w:rPr>
                <w:sz w:val="20"/>
                <w:szCs w:val="20"/>
              </w:rPr>
              <w:t>Velicki</w:t>
            </w:r>
            <w:proofErr w:type="spellEnd"/>
            <w:r>
              <w:rPr>
                <w:sz w:val="20"/>
                <w:szCs w:val="20"/>
              </w:rPr>
              <w:t xml:space="preserve"> L. </w:t>
            </w:r>
            <w:r w:rsidRPr="00BA32CB">
              <w:rPr>
                <w:sz w:val="20"/>
                <w:szCs w:val="20"/>
              </w:rPr>
              <w:t xml:space="preserve">Acute respiratory distress syndrome following coronary artery bypass grafting successfully treated with </w:t>
            </w:r>
            <w:proofErr w:type="spellStart"/>
            <w:r w:rsidRPr="00BA32CB">
              <w:rPr>
                <w:sz w:val="20"/>
                <w:szCs w:val="20"/>
              </w:rPr>
              <w:t>venovenous</w:t>
            </w:r>
            <w:proofErr w:type="spellEnd"/>
            <w:r w:rsidRPr="00BA32CB">
              <w:rPr>
                <w:sz w:val="20"/>
                <w:szCs w:val="20"/>
              </w:rPr>
              <w:t xml:space="preserve"> extracorporeal membrane oxygenation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Srp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Lek</w:t>
            </w:r>
            <w:proofErr w:type="spellEnd"/>
            <w:r>
              <w:rPr>
                <w:sz w:val="20"/>
                <w:szCs w:val="20"/>
              </w:rPr>
              <w:t>. 2022</w:t>
            </w:r>
            <w:proofErr w:type="gramStart"/>
            <w:r>
              <w:rPr>
                <w:sz w:val="20"/>
                <w:szCs w:val="20"/>
              </w:rPr>
              <w:t>;150</w:t>
            </w:r>
            <w:proofErr w:type="gramEnd"/>
            <w:r>
              <w:rPr>
                <w:sz w:val="20"/>
                <w:szCs w:val="20"/>
              </w:rPr>
              <w:t>(7-8):467-71.</w:t>
            </w:r>
          </w:p>
        </w:tc>
        <w:tc>
          <w:tcPr>
            <w:tcW w:w="378" w:type="pct"/>
            <w:vAlign w:val="center"/>
          </w:tcPr>
          <w:p w:rsidR="00FA083F" w:rsidRPr="000022A6" w:rsidRDefault="00FA083F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FA083F" w:rsidRPr="000022A6" w:rsidRDefault="00BA32CB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86" w:type="pct"/>
            <w:vAlign w:val="center"/>
          </w:tcPr>
          <w:p w:rsidR="00FA083F" w:rsidRPr="000022A6" w:rsidRDefault="00BA32CB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BA32CB">
              <w:rPr>
                <w:sz w:val="20"/>
                <w:szCs w:val="20"/>
              </w:rPr>
              <w:t>0.358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FA083F" w:rsidRPr="000022A6" w:rsidRDefault="00FA083F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FA083F" w:rsidRPr="000022A6" w:rsidRDefault="00442336" w:rsidP="00BD2A9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442336">
              <w:rPr>
                <w:sz w:val="20"/>
                <w:szCs w:val="20"/>
              </w:rPr>
              <w:t>Majdevac</w:t>
            </w:r>
            <w:proofErr w:type="spellEnd"/>
            <w:r w:rsidRPr="00442336">
              <w:rPr>
                <w:sz w:val="20"/>
                <w:szCs w:val="20"/>
              </w:rPr>
              <w:t xml:space="preserve"> S, </w:t>
            </w:r>
            <w:proofErr w:type="spellStart"/>
            <w:r w:rsidRPr="00442336">
              <w:rPr>
                <w:sz w:val="20"/>
                <w:szCs w:val="20"/>
              </w:rPr>
              <w:t>Susak</w:t>
            </w:r>
            <w:proofErr w:type="spellEnd"/>
            <w:r w:rsidRPr="00442336">
              <w:rPr>
                <w:sz w:val="20"/>
                <w:szCs w:val="20"/>
              </w:rPr>
              <w:t xml:space="preserve"> S, </w:t>
            </w:r>
            <w:proofErr w:type="spellStart"/>
            <w:r w:rsidRPr="00442336">
              <w:rPr>
                <w:sz w:val="20"/>
                <w:szCs w:val="20"/>
              </w:rPr>
              <w:t>Vuji</w:t>
            </w:r>
            <w:r w:rsidR="00BD2A91">
              <w:rPr>
                <w:sz w:val="20"/>
                <w:szCs w:val="20"/>
              </w:rPr>
              <w:t>ć</w:t>
            </w:r>
            <w:proofErr w:type="spellEnd"/>
            <w:r w:rsidRPr="00442336">
              <w:rPr>
                <w:sz w:val="20"/>
                <w:szCs w:val="20"/>
              </w:rPr>
              <w:t xml:space="preserve"> V, </w:t>
            </w:r>
            <w:proofErr w:type="spellStart"/>
            <w:r w:rsidRPr="00442336">
              <w:rPr>
                <w:sz w:val="20"/>
                <w:szCs w:val="20"/>
              </w:rPr>
              <w:t>Okiljevi</w:t>
            </w:r>
            <w:r w:rsidR="00BD2A91">
              <w:rPr>
                <w:sz w:val="20"/>
                <w:szCs w:val="20"/>
              </w:rPr>
              <w:t>ć</w:t>
            </w:r>
            <w:proofErr w:type="spellEnd"/>
            <w:r w:rsidRPr="00442336">
              <w:rPr>
                <w:sz w:val="20"/>
                <w:szCs w:val="20"/>
              </w:rPr>
              <w:t xml:space="preserve"> B, </w:t>
            </w:r>
            <w:proofErr w:type="spellStart"/>
            <w:r w:rsidRPr="00BD2A91">
              <w:rPr>
                <w:b/>
                <w:sz w:val="20"/>
                <w:szCs w:val="20"/>
              </w:rPr>
              <w:t>Golubovi</w:t>
            </w:r>
            <w:r w:rsidR="00BD2A91" w:rsidRPr="00BD2A91">
              <w:rPr>
                <w:b/>
                <w:sz w:val="20"/>
                <w:szCs w:val="20"/>
              </w:rPr>
              <w:t>ć</w:t>
            </w:r>
            <w:proofErr w:type="spellEnd"/>
            <w:r w:rsidRPr="00BD2A91">
              <w:rPr>
                <w:b/>
                <w:sz w:val="20"/>
                <w:szCs w:val="20"/>
              </w:rPr>
              <w:t xml:space="preserve"> M</w:t>
            </w:r>
            <w:r w:rsidRPr="00442336">
              <w:rPr>
                <w:sz w:val="20"/>
                <w:szCs w:val="20"/>
              </w:rPr>
              <w:t xml:space="preserve">, </w:t>
            </w:r>
            <w:proofErr w:type="spellStart"/>
            <w:r w:rsidRPr="00442336">
              <w:rPr>
                <w:sz w:val="20"/>
                <w:szCs w:val="20"/>
              </w:rPr>
              <w:t>Zdravkovi</w:t>
            </w:r>
            <w:r w:rsidR="00BD2A91">
              <w:rPr>
                <w:sz w:val="20"/>
                <w:szCs w:val="20"/>
              </w:rPr>
              <w:t>ć</w:t>
            </w:r>
            <w:proofErr w:type="spellEnd"/>
            <w:r w:rsidRPr="00442336">
              <w:rPr>
                <w:sz w:val="20"/>
                <w:szCs w:val="20"/>
              </w:rPr>
              <w:t xml:space="preserve"> R. Management of mechanical aortic valve thrombosis during the first trimester of pregnancy. J Card Surg. 2022 Jun</w:t>
            </w:r>
            <w:proofErr w:type="gramStart"/>
            <w:r w:rsidRPr="00442336">
              <w:rPr>
                <w:sz w:val="20"/>
                <w:szCs w:val="20"/>
              </w:rPr>
              <w:t>;37</w:t>
            </w:r>
            <w:proofErr w:type="gramEnd"/>
            <w:r w:rsidRPr="00442336">
              <w:rPr>
                <w:sz w:val="20"/>
                <w:szCs w:val="20"/>
              </w:rPr>
              <w:t>(6):1776-1778.</w:t>
            </w:r>
          </w:p>
        </w:tc>
        <w:tc>
          <w:tcPr>
            <w:tcW w:w="378" w:type="pct"/>
            <w:vAlign w:val="center"/>
          </w:tcPr>
          <w:p w:rsidR="00FA083F" w:rsidRPr="000022A6" w:rsidRDefault="00FA083F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FA083F" w:rsidRPr="000022A6" w:rsidRDefault="00BD2A91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6" w:type="pct"/>
            <w:vAlign w:val="center"/>
          </w:tcPr>
          <w:p w:rsidR="00FA083F" w:rsidRPr="000022A6" w:rsidRDefault="00BD2A91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BD2A91">
              <w:rPr>
                <w:sz w:val="20"/>
                <w:szCs w:val="20"/>
              </w:rPr>
              <w:t>1.778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FA083F" w:rsidRPr="000022A6" w:rsidRDefault="00FA083F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FA083F" w:rsidRPr="000022A6" w:rsidRDefault="00BD2A91" w:rsidP="00BD2A9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BD2A91">
              <w:rPr>
                <w:sz w:val="20"/>
                <w:szCs w:val="20"/>
              </w:rPr>
              <w:t>Preveden</w:t>
            </w:r>
            <w:proofErr w:type="spellEnd"/>
            <w:r w:rsidRPr="00BD2A91">
              <w:rPr>
                <w:sz w:val="20"/>
                <w:szCs w:val="20"/>
              </w:rPr>
              <w:t xml:space="preserve"> A, </w:t>
            </w:r>
            <w:proofErr w:type="spellStart"/>
            <w:r w:rsidRPr="00BD2A91">
              <w:rPr>
                <w:b/>
                <w:sz w:val="20"/>
                <w:szCs w:val="20"/>
              </w:rPr>
              <w:t>Golubovic</w:t>
            </w:r>
            <w:proofErr w:type="spellEnd"/>
            <w:r w:rsidRPr="00BD2A91">
              <w:rPr>
                <w:b/>
                <w:sz w:val="20"/>
                <w:szCs w:val="20"/>
              </w:rPr>
              <w:t xml:space="preserve"> M</w:t>
            </w:r>
            <w:r w:rsidRPr="00BD2A91">
              <w:rPr>
                <w:sz w:val="20"/>
                <w:szCs w:val="20"/>
              </w:rPr>
              <w:t xml:space="preserve">, </w:t>
            </w:r>
            <w:proofErr w:type="spellStart"/>
            <w:r w:rsidRPr="00BD2A91">
              <w:rPr>
                <w:sz w:val="20"/>
                <w:szCs w:val="20"/>
              </w:rPr>
              <w:t>Bjelobrk</w:t>
            </w:r>
            <w:proofErr w:type="spellEnd"/>
            <w:r w:rsidRPr="00BD2A91">
              <w:rPr>
                <w:sz w:val="20"/>
                <w:szCs w:val="20"/>
              </w:rPr>
              <w:t xml:space="preserve"> M, </w:t>
            </w:r>
            <w:proofErr w:type="spellStart"/>
            <w:r w:rsidRPr="00BD2A91">
              <w:rPr>
                <w:sz w:val="20"/>
                <w:szCs w:val="20"/>
              </w:rPr>
              <w:t>Miljkovi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D2A91">
              <w:rPr>
                <w:sz w:val="20"/>
                <w:szCs w:val="20"/>
              </w:rPr>
              <w:t xml:space="preserve"> T, </w:t>
            </w:r>
            <w:proofErr w:type="spellStart"/>
            <w:r w:rsidRPr="00BD2A91">
              <w:rPr>
                <w:sz w:val="20"/>
                <w:szCs w:val="20"/>
              </w:rPr>
              <w:t>Ili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D2A91">
              <w:rPr>
                <w:sz w:val="20"/>
                <w:szCs w:val="20"/>
              </w:rPr>
              <w:t xml:space="preserve"> A, </w:t>
            </w:r>
            <w:proofErr w:type="spellStart"/>
            <w:r w:rsidRPr="00BD2A91">
              <w:rPr>
                <w:sz w:val="20"/>
                <w:szCs w:val="20"/>
              </w:rPr>
              <w:t>Stoj</w:t>
            </w:r>
            <w:r>
              <w:rPr>
                <w:sz w:val="20"/>
                <w:szCs w:val="20"/>
              </w:rPr>
              <w:t>š</w:t>
            </w:r>
            <w:r w:rsidRPr="00BD2A9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BD2A91">
              <w:rPr>
                <w:sz w:val="20"/>
                <w:szCs w:val="20"/>
              </w:rPr>
              <w:t xml:space="preserve"> S, </w:t>
            </w:r>
            <w:r>
              <w:rPr>
                <w:sz w:val="20"/>
                <w:szCs w:val="20"/>
              </w:rPr>
              <w:t>et al</w:t>
            </w:r>
            <w:r w:rsidRPr="00BD2A91">
              <w:rPr>
                <w:sz w:val="20"/>
                <w:szCs w:val="20"/>
              </w:rPr>
              <w:t xml:space="preserve">. Gender Related Differences in the Clinical Presentation of Hypertrophic </w:t>
            </w:r>
            <w:proofErr w:type="spellStart"/>
            <w:r w:rsidRPr="00BD2A91">
              <w:rPr>
                <w:sz w:val="20"/>
                <w:szCs w:val="20"/>
              </w:rPr>
              <w:t>Cardiomyopathy</w:t>
            </w:r>
            <w:proofErr w:type="spellEnd"/>
            <w:r w:rsidRPr="00BD2A91">
              <w:rPr>
                <w:sz w:val="20"/>
                <w:szCs w:val="20"/>
              </w:rPr>
              <w:t xml:space="preserve">-An Analysis from the SILICOFCM Database. </w:t>
            </w:r>
            <w:proofErr w:type="spellStart"/>
            <w:r w:rsidRPr="00BD2A91">
              <w:rPr>
                <w:sz w:val="20"/>
                <w:szCs w:val="20"/>
              </w:rPr>
              <w:t>Medicina</w:t>
            </w:r>
            <w:proofErr w:type="spellEnd"/>
            <w:r w:rsidRPr="00BD2A91">
              <w:rPr>
                <w:sz w:val="20"/>
                <w:szCs w:val="20"/>
              </w:rPr>
              <w:t xml:space="preserve"> (Kaunas). 2022 Feb 18</w:t>
            </w:r>
            <w:proofErr w:type="gramStart"/>
            <w:r w:rsidRPr="00BD2A91">
              <w:rPr>
                <w:sz w:val="20"/>
                <w:szCs w:val="20"/>
              </w:rPr>
              <w:t>;58</w:t>
            </w:r>
            <w:proofErr w:type="gramEnd"/>
            <w:r w:rsidRPr="00BD2A91">
              <w:rPr>
                <w:sz w:val="20"/>
                <w:szCs w:val="20"/>
              </w:rPr>
              <w:t>(2):314.</w:t>
            </w:r>
          </w:p>
        </w:tc>
        <w:tc>
          <w:tcPr>
            <w:tcW w:w="378" w:type="pct"/>
            <w:vAlign w:val="center"/>
          </w:tcPr>
          <w:p w:rsidR="00FA083F" w:rsidRPr="000022A6" w:rsidRDefault="00FA083F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FA083F" w:rsidRPr="000022A6" w:rsidRDefault="00BD2A91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6" w:type="pct"/>
            <w:vAlign w:val="center"/>
          </w:tcPr>
          <w:p w:rsidR="00FA083F" w:rsidRPr="000022A6" w:rsidRDefault="00BD2A91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BD2A91">
              <w:rPr>
                <w:sz w:val="20"/>
                <w:szCs w:val="20"/>
              </w:rPr>
              <w:t>2.985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BD2A91" w:rsidRPr="000022A6" w:rsidRDefault="00BD2A91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BD2A91" w:rsidRPr="000022A6" w:rsidRDefault="00BD2A91" w:rsidP="00BD2A9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BD2A91">
              <w:rPr>
                <w:sz w:val="20"/>
                <w:szCs w:val="20"/>
              </w:rPr>
              <w:t>Miljković</w:t>
            </w:r>
            <w:proofErr w:type="spellEnd"/>
            <w:r w:rsidRPr="00BD2A91">
              <w:rPr>
                <w:sz w:val="20"/>
                <w:szCs w:val="20"/>
              </w:rPr>
              <w:t xml:space="preserve"> T, </w:t>
            </w:r>
            <w:proofErr w:type="spellStart"/>
            <w:r w:rsidRPr="00BD2A91">
              <w:rPr>
                <w:sz w:val="20"/>
                <w:szCs w:val="20"/>
              </w:rPr>
              <w:t>Ilić</w:t>
            </w:r>
            <w:proofErr w:type="spellEnd"/>
            <w:r w:rsidRPr="00BD2A91">
              <w:rPr>
                <w:sz w:val="20"/>
                <w:szCs w:val="20"/>
              </w:rPr>
              <w:t xml:space="preserve"> A, </w:t>
            </w:r>
            <w:proofErr w:type="spellStart"/>
            <w:r w:rsidRPr="00BD2A91">
              <w:rPr>
                <w:sz w:val="20"/>
                <w:szCs w:val="20"/>
              </w:rPr>
              <w:t>Milovančev</w:t>
            </w:r>
            <w:proofErr w:type="spellEnd"/>
            <w:r w:rsidRPr="00BD2A91">
              <w:rPr>
                <w:sz w:val="20"/>
                <w:szCs w:val="20"/>
              </w:rPr>
              <w:t xml:space="preserve"> A, </w:t>
            </w:r>
            <w:proofErr w:type="spellStart"/>
            <w:r w:rsidRPr="00BD2A91">
              <w:rPr>
                <w:sz w:val="20"/>
                <w:szCs w:val="20"/>
              </w:rPr>
              <w:t>Bjelobrk</w:t>
            </w:r>
            <w:proofErr w:type="spellEnd"/>
            <w:r w:rsidRPr="00BD2A91">
              <w:rPr>
                <w:sz w:val="20"/>
                <w:szCs w:val="20"/>
              </w:rPr>
              <w:t xml:space="preserve"> M, </w:t>
            </w:r>
            <w:proofErr w:type="spellStart"/>
            <w:r w:rsidRPr="00BD2A91">
              <w:rPr>
                <w:sz w:val="20"/>
                <w:szCs w:val="20"/>
              </w:rPr>
              <w:t>Stefanović</w:t>
            </w:r>
            <w:proofErr w:type="spellEnd"/>
            <w:r w:rsidRPr="00BD2A91">
              <w:rPr>
                <w:sz w:val="20"/>
                <w:szCs w:val="20"/>
              </w:rPr>
              <w:t xml:space="preserve"> M, </w:t>
            </w:r>
            <w:r>
              <w:rPr>
                <w:sz w:val="20"/>
                <w:szCs w:val="20"/>
              </w:rPr>
              <w:t>et al…</w:t>
            </w:r>
            <w:proofErr w:type="spellStart"/>
            <w:r w:rsidRPr="00BD2A91">
              <w:rPr>
                <w:b/>
                <w:sz w:val="20"/>
                <w:szCs w:val="20"/>
              </w:rPr>
              <w:t>Golubović</w:t>
            </w:r>
            <w:proofErr w:type="spellEnd"/>
            <w:r w:rsidRPr="00BD2A91">
              <w:rPr>
                <w:b/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..</w:t>
            </w:r>
            <w:r w:rsidRPr="00BD2A91">
              <w:rPr>
                <w:sz w:val="20"/>
                <w:szCs w:val="20"/>
              </w:rPr>
              <w:t xml:space="preserve">. Left </w:t>
            </w:r>
            <w:proofErr w:type="spellStart"/>
            <w:r w:rsidRPr="00BD2A91">
              <w:rPr>
                <w:sz w:val="20"/>
                <w:szCs w:val="20"/>
              </w:rPr>
              <w:t>Atrial</w:t>
            </w:r>
            <w:proofErr w:type="spellEnd"/>
            <w:r w:rsidRPr="00BD2A91">
              <w:rPr>
                <w:sz w:val="20"/>
                <w:szCs w:val="20"/>
              </w:rPr>
              <w:t xml:space="preserve"> Strain as a Predictor of Left Ventricular Diastolic Dysfunction in Patients with Arterial Hypertension. </w:t>
            </w:r>
            <w:proofErr w:type="spellStart"/>
            <w:r w:rsidRPr="00BD2A91">
              <w:rPr>
                <w:sz w:val="20"/>
                <w:szCs w:val="20"/>
              </w:rPr>
              <w:t>Medicina</w:t>
            </w:r>
            <w:proofErr w:type="spellEnd"/>
            <w:r w:rsidRPr="00BD2A91">
              <w:rPr>
                <w:sz w:val="20"/>
                <w:szCs w:val="20"/>
              </w:rPr>
              <w:t xml:space="preserve"> (Kaunas). 2022 Jan 20</w:t>
            </w:r>
            <w:proofErr w:type="gramStart"/>
            <w:r w:rsidRPr="00BD2A91">
              <w:rPr>
                <w:sz w:val="20"/>
                <w:szCs w:val="20"/>
              </w:rPr>
              <w:t>;58</w:t>
            </w:r>
            <w:proofErr w:type="gramEnd"/>
            <w:r w:rsidRPr="00BD2A91">
              <w:rPr>
                <w:sz w:val="20"/>
                <w:szCs w:val="20"/>
              </w:rPr>
              <w:t>(2):156.</w:t>
            </w:r>
          </w:p>
        </w:tc>
        <w:tc>
          <w:tcPr>
            <w:tcW w:w="378" w:type="pct"/>
            <w:vAlign w:val="center"/>
          </w:tcPr>
          <w:p w:rsidR="00BD2A91" w:rsidRPr="000022A6" w:rsidRDefault="00BD2A91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BD2A91" w:rsidRPr="000022A6" w:rsidRDefault="00BD2A91" w:rsidP="00771E0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6" w:type="pct"/>
            <w:vAlign w:val="center"/>
          </w:tcPr>
          <w:p w:rsidR="00BD2A91" w:rsidRPr="000022A6" w:rsidRDefault="00BD2A91" w:rsidP="00771E0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BD2A91">
              <w:rPr>
                <w:sz w:val="20"/>
                <w:szCs w:val="20"/>
              </w:rPr>
              <w:t>2.985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BD2A91" w:rsidRPr="000022A6" w:rsidRDefault="00BD2A91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BD2A91" w:rsidRPr="000022A6" w:rsidRDefault="00BD2A91" w:rsidP="00BD2A9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BD2A91">
              <w:rPr>
                <w:sz w:val="20"/>
                <w:szCs w:val="20"/>
              </w:rPr>
              <w:t>Red</w:t>
            </w:r>
            <w:r>
              <w:rPr>
                <w:sz w:val="20"/>
                <w:szCs w:val="20"/>
              </w:rPr>
              <w:t>ž</w:t>
            </w:r>
            <w:r w:rsidRPr="00BD2A91">
              <w:rPr>
                <w:sz w:val="20"/>
                <w:szCs w:val="20"/>
              </w:rPr>
              <w:t>ek</w:t>
            </w:r>
            <w:proofErr w:type="spellEnd"/>
            <w:r w:rsidRPr="00BD2A91">
              <w:rPr>
                <w:sz w:val="20"/>
                <w:szCs w:val="20"/>
              </w:rPr>
              <w:t xml:space="preserve"> A, </w:t>
            </w:r>
            <w:proofErr w:type="spellStart"/>
            <w:r w:rsidRPr="00BD2A91">
              <w:rPr>
                <w:sz w:val="20"/>
                <w:szCs w:val="20"/>
              </w:rPr>
              <w:t>Preveden</w:t>
            </w:r>
            <w:proofErr w:type="spellEnd"/>
            <w:r w:rsidRPr="00BD2A91">
              <w:rPr>
                <w:sz w:val="20"/>
                <w:szCs w:val="20"/>
              </w:rPr>
              <w:t xml:space="preserve"> A, </w:t>
            </w:r>
            <w:proofErr w:type="spellStart"/>
            <w:r w:rsidRPr="00BD2A91">
              <w:rPr>
                <w:sz w:val="20"/>
                <w:szCs w:val="20"/>
              </w:rPr>
              <w:t>Kaloci</w:t>
            </w:r>
            <w:proofErr w:type="spellEnd"/>
            <w:r w:rsidRPr="00BD2A91">
              <w:rPr>
                <w:sz w:val="20"/>
                <w:szCs w:val="20"/>
              </w:rPr>
              <w:t xml:space="preserve"> SR, </w:t>
            </w:r>
            <w:proofErr w:type="spellStart"/>
            <w:r w:rsidRPr="00BD2A91">
              <w:rPr>
                <w:sz w:val="20"/>
                <w:szCs w:val="20"/>
              </w:rPr>
              <w:t>Samard</w:t>
            </w:r>
            <w:r>
              <w:rPr>
                <w:sz w:val="20"/>
                <w:szCs w:val="20"/>
              </w:rPr>
              <w:t>ž</w:t>
            </w:r>
            <w:r w:rsidRPr="00BD2A91">
              <w:rPr>
                <w:sz w:val="20"/>
                <w:szCs w:val="20"/>
              </w:rPr>
              <w:t>ija</w:t>
            </w:r>
            <w:proofErr w:type="spellEnd"/>
            <w:r w:rsidRPr="00BD2A91">
              <w:rPr>
                <w:sz w:val="20"/>
                <w:szCs w:val="20"/>
              </w:rPr>
              <w:t xml:space="preserve"> G, </w:t>
            </w:r>
            <w:proofErr w:type="spellStart"/>
            <w:r w:rsidRPr="00BD2A91">
              <w:rPr>
                <w:sz w:val="20"/>
                <w:szCs w:val="20"/>
              </w:rPr>
              <w:t>Preveden</w:t>
            </w:r>
            <w:proofErr w:type="spellEnd"/>
            <w:r w:rsidRPr="00BD2A91">
              <w:rPr>
                <w:sz w:val="20"/>
                <w:szCs w:val="20"/>
              </w:rPr>
              <w:t xml:space="preserve"> M, </w:t>
            </w:r>
            <w:proofErr w:type="spellStart"/>
            <w:r w:rsidRPr="00BD2A91">
              <w:rPr>
                <w:b/>
                <w:sz w:val="20"/>
                <w:szCs w:val="20"/>
              </w:rPr>
              <w:t>Golubović</w:t>
            </w:r>
            <w:proofErr w:type="spellEnd"/>
            <w:r w:rsidRPr="00BD2A91">
              <w:rPr>
                <w:b/>
                <w:sz w:val="20"/>
                <w:szCs w:val="20"/>
              </w:rPr>
              <w:t xml:space="preserve"> M</w:t>
            </w:r>
            <w:r w:rsidRPr="00BD2A9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et al</w:t>
            </w:r>
            <w:r w:rsidRPr="00BD2A91">
              <w:rPr>
                <w:sz w:val="20"/>
                <w:szCs w:val="20"/>
              </w:rPr>
              <w:t>. Unusual non-</w:t>
            </w:r>
            <w:proofErr w:type="spellStart"/>
            <w:r w:rsidRPr="00BD2A91">
              <w:rPr>
                <w:sz w:val="20"/>
                <w:szCs w:val="20"/>
              </w:rPr>
              <w:t>valvular</w:t>
            </w:r>
            <w:proofErr w:type="spellEnd"/>
            <w:r w:rsidRPr="00BD2A91">
              <w:rPr>
                <w:sz w:val="20"/>
                <w:szCs w:val="20"/>
              </w:rPr>
              <w:t xml:space="preserve"> left ventricular </w:t>
            </w:r>
            <w:proofErr w:type="spellStart"/>
            <w:r w:rsidRPr="00BD2A91">
              <w:rPr>
                <w:sz w:val="20"/>
                <w:szCs w:val="20"/>
              </w:rPr>
              <w:t>endocarditis</w:t>
            </w:r>
            <w:proofErr w:type="spellEnd"/>
            <w:r w:rsidRPr="00BD2A91">
              <w:rPr>
                <w:sz w:val="20"/>
                <w:szCs w:val="20"/>
              </w:rPr>
              <w:t xml:space="preserve"> presenting as multiple brain embolism. </w:t>
            </w:r>
            <w:proofErr w:type="spellStart"/>
            <w:r w:rsidRPr="00BD2A91">
              <w:rPr>
                <w:sz w:val="20"/>
                <w:szCs w:val="20"/>
              </w:rPr>
              <w:t>Acta</w:t>
            </w:r>
            <w:proofErr w:type="spellEnd"/>
            <w:r w:rsidRPr="00BD2A9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Clin</w:t>
            </w:r>
            <w:proofErr w:type="spellEnd"/>
            <w:r>
              <w:rPr>
                <w:sz w:val="20"/>
                <w:szCs w:val="20"/>
              </w:rPr>
              <w:t xml:space="preserve"> Belg. 2022 Feb</w:t>
            </w:r>
            <w:proofErr w:type="gramStart"/>
            <w:r>
              <w:rPr>
                <w:sz w:val="20"/>
                <w:szCs w:val="20"/>
              </w:rPr>
              <w:t>;77</w:t>
            </w:r>
            <w:proofErr w:type="gramEnd"/>
            <w:r>
              <w:rPr>
                <w:sz w:val="20"/>
                <w:szCs w:val="20"/>
              </w:rPr>
              <w:t>(1):142-</w:t>
            </w:r>
            <w:r w:rsidRPr="00BD2A91">
              <w:rPr>
                <w:sz w:val="20"/>
                <w:szCs w:val="20"/>
              </w:rPr>
              <w:t>6.</w:t>
            </w:r>
          </w:p>
        </w:tc>
        <w:tc>
          <w:tcPr>
            <w:tcW w:w="378" w:type="pct"/>
            <w:vAlign w:val="center"/>
          </w:tcPr>
          <w:p w:rsidR="00BD2A91" w:rsidRPr="000022A6" w:rsidRDefault="00BD2A91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BD2A91" w:rsidRPr="000022A6" w:rsidRDefault="00BD2A91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6" w:type="pct"/>
            <w:vAlign w:val="center"/>
          </w:tcPr>
          <w:p w:rsidR="00BD2A91" w:rsidRPr="000022A6" w:rsidRDefault="00BD2A91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BD2A91">
              <w:rPr>
                <w:sz w:val="20"/>
                <w:szCs w:val="20"/>
              </w:rPr>
              <w:t>1.682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BD2A91" w:rsidRPr="000022A6" w:rsidRDefault="00BD2A91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BD2A91" w:rsidRPr="00BD2A91" w:rsidRDefault="00BD2A91" w:rsidP="009B435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Redžek</w:t>
            </w:r>
            <w:proofErr w:type="spellEnd"/>
            <w:r>
              <w:rPr>
                <w:sz w:val="20"/>
                <w:szCs w:val="20"/>
              </w:rPr>
              <w:t xml:space="preserve"> A, </w:t>
            </w:r>
            <w:proofErr w:type="spellStart"/>
            <w:r>
              <w:rPr>
                <w:sz w:val="20"/>
                <w:szCs w:val="20"/>
              </w:rPr>
              <w:t>Preveden</w:t>
            </w:r>
            <w:proofErr w:type="spellEnd"/>
            <w:r>
              <w:rPr>
                <w:sz w:val="20"/>
                <w:szCs w:val="20"/>
              </w:rPr>
              <w:t xml:space="preserve"> A, </w:t>
            </w:r>
            <w:proofErr w:type="spellStart"/>
            <w:r>
              <w:rPr>
                <w:b/>
                <w:sz w:val="20"/>
                <w:szCs w:val="20"/>
              </w:rPr>
              <w:t>Golubović</w:t>
            </w:r>
            <w:proofErr w:type="spellEnd"/>
            <w:r>
              <w:rPr>
                <w:b/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Gocić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Perić</w:t>
            </w:r>
            <w:proofErr w:type="spellEnd"/>
            <w:r>
              <w:rPr>
                <w:sz w:val="20"/>
                <w:szCs w:val="20"/>
              </w:rPr>
              <w:t xml:space="preserve"> N, Popov T, </w:t>
            </w:r>
            <w:proofErr w:type="spellStart"/>
            <w:r>
              <w:rPr>
                <w:sz w:val="20"/>
                <w:szCs w:val="20"/>
              </w:rPr>
              <w:t>Petrović</w:t>
            </w:r>
            <w:proofErr w:type="spellEnd"/>
            <w:r>
              <w:rPr>
                <w:sz w:val="20"/>
                <w:szCs w:val="20"/>
              </w:rPr>
              <w:t xml:space="preserve"> M, et al. </w:t>
            </w:r>
            <w:r w:rsidRPr="00BD2A91">
              <w:rPr>
                <w:sz w:val="20"/>
                <w:szCs w:val="20"/>
              </w:rPr>
              <w:t>Early massive gastrointestinal bleeding as a complication of left ventricular assist device implantation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Vojnosanit</w:t>
            </w:r>
            <w:proofErr w:type="spellEnd"/>
            <w:r>
              <w:rPr>
                <w:sz w:val="20"/>
                <w:szCs w:val="20"/>
              </w:rPr>
              <w:t xml:space="preserve"> Pregl. 2021</w:t>
            </w:r>
            <w:proofErr w:type="gramStart"/>
            <w:r>
              <w:rPr>
                <w:sz w:val="20"/>
                <w:szCs w:val="20"/>
              </w:rPr>
              <w:t>;78</w:t>
            </w:r>
            <w:proofErr w:type="gramEnd"/>
            <w:r>
              <w:rPr>
                <w:sz w:val="20"/>
                <w:szCs w:val="20"/>
              </w:rPr>
              <w:t>(6):666-70.</w:t>
            </w:r>
          </w:p>
        </w:tc>
        <w:tc>
          <w:tcPr>
            <w:tcW w:w="378" w:type="pct"/>
            <w:vAlign w:val="center"/>
          </w:tcPr>
          <w:p w:rsidR="00BD2A91" w:rsidRPr="000022A6" w:rsidRDefault="00BD2A91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BD2A91" w:rsidRPr="000022A6" w:rsidRDefault="00BD2A91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86" w:type="pct"/>
            <w:vAlign w:val="center"/>
          </w:tcPr>
          <w:p w:rsidR="00BD2A91" w:rsidRPr="000022A6" w:rsidRDefault="00BD2A91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BD2A91">
              <w:rPr>
                <w:sz w:val="20"/>
                <w:szCs w:val="20"/>
              </w:rPr>
              <w:t>0.383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BD2A91" w:rsidRPr="000022A6" w:rsidRDefault="00BD2A91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BD2A91" w:rsidRPr="000022A6" w:rsidRDefault="00BD2A91" w:rsidP="009B4351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BD2A91">
              <w:rPr>
                <w:sz w:val="20"/>
                <w:szCs w:val="20"/>
              </w:rPr>
              <w:t>Petrović</w:t>
            </w:r>
            <w:proofErr w:type="spellEnd"/>
            <w:r w:rsidRPr="00BD2A91">
              <w:rPr>
                <w:sz w:val="20"/>
                <w:szCs w:val="20"/>
              </w:rPr>
              <w:t xml:space="preserve"> M, </w:t>
            </w:r>
            <w:proofErr w:type="spellStart"/>
            <w:r w:rsidRPr="00BD2A91">
              <w:rPr>
                <w:sz w:val="20"/>
                <w:szCs w:val="20"/>
              </w:rPr>
              <w:t>Milovančev</w:t>
            </w:r>
            <w:proofErr w:type="spellEnd"/>
            <w:r w:rsidRPr="00BD2A91">
              <w:rPr>
                <w:sz w:val="20"/>
                <w:szCs w:val="20"/>
              </w:rPr>
              <w:t xml:space="preserve"> A, </w:t>
            </w:r>
            <w:proofErr w:type="spellStart"/>
            <w:r w:rsidRPr="00BD2A91">
              <w:rPr>
                <w:sz w:val="20"/>
                <w:szCs w:val="20"/>
              </w:rPr>
              <w:t>Kovačević</w:t>
            </w:r>
            <w:proofErr w:type="spellEnd"/>
            <w:r w:rsidRPr="00BD2A91">
              <w:rPr>
                <w:sz w:val="20"/>
                <w:szCs w:val="20"/>
              </w:rPr>
              <w:t xml:space="preserve"> M, </w:t>
            </w:r>
            <w:proofErr w:type="spellStart"/>
            <w:r w:rsidRPr="00BD2A91">
              <w:rPr>
                <w:sz w:val="20"/>
                <w:szCs w:val="20"/>
              </w:rPr>
              <w:t>Miljković</w:t>
            </w:r>
            <w:proofErr w:type="spellEnd"/>
            <w:r w:rsidRPr="00BD2A91">
              <w:rPr>
                <w:sz w:val="20"/>
                <w:szCs w:val="20"/>
              </w:rPr>
              <w:t xml:space="preserve"> T, </w:t>
            </w:r>
            <w:proofErr w:type="spellStart"/>
            <w:r w:rsidRPr="00BD2A91">
              <w:rPr>
                <w:sz w:val="20"/>
                <w:szCs w:val="20"/>
              </w:rPr>
              <w:t>Ilić</w:t>
            </w:r>
            <w:proofErr w:type="spellEnd"/>
            <w:r w:rsidRPr="00BD2A91">
              <w:rPr>
                <w:sz w:val="20"/>
                <w:szCs w:val="20"/>
              </w:rPr>
              <w:t xml:space="preserve"> A, </w:t>
            </w:r>
            <w:proofErr w:type="spellStart"/>
            <w:r w:rsidRPr="00BD2A91">
              <w:rPr>
                <w:sz w:val="20"/>
                <w:szCs w:val="20"/>
              </w:rPr>
              <w:t>Stojšić-Milosavljević</w:t>
            </w:r>
            <w:proofErr w:type="spellEnd"/>
            <w:r w:rsidRPr="00BD2A91">
              <w:rPr>
                <w:sz w:val="20"/>
                <w:szCs w:val="20"/>
              </w:rPr>
              <w:t xml:space="preserve"> A, </w:t>
            </w:r>
            <w:proofErr w:type="spellStart"/>
            <w:r w:rsidRPr="008E4D40">
              <w:rPr>
                <w:b/>
                <w:sz w:val="20"/>
                <w:szCs w:val="20"/>
              </w:rPr>
              <w:t>Golubović</w:t>
            </w:r>
            <w:proofErr w:type="spellEnd"/>
            <w:r w:rsidRPr="008E4D40">
              <w:rPr>
                <w:b/>
                <w:sz w:val="20"/>
                <w:szCs w:val="20"/>
              </w:rPr>
              <w:t xml:space="preserve"> M</w:t>
            </w:r>
            <w:r w:rsidRPr="00BD2A91">
              <w:rPr>
                <w:sz w:val="20"/>
                <w:szCs w:val="20"/>
              </w:rPr>
              <w:t xml:space="preserve">. Impact of COVID-19 outbreak on hospital admissions and outcome of acute coronary syndromes in a single high-volume centre in southeastern Europe. </w:t>
            </w:r>
            <w:proofErr w:type="spellStart"/>
            <w:r w:rsidRPr="00BD2A91">
              <w:rPr>
                <w:sz w:val="20"/>
                <w:szCs w:val="20"/>
              </w:rPr>
              <w:t>Net</w:t>
            </w:r>
            <w:r w:rsidR="008E4D40">
              <w:rPr>
                <w:sz w:val="20"/>
                <w:szCs w:val="20"/>
              </w:rPr>
              <w:t>h</w:t>
            </w:r>
            <w:proofErr w:type="spellEnd"/>
            <w:r w:rsidR="008E4D40">
              <w:rPr>
                <w:sz w:val="20"/>
                <w:szCs w:val="20"/>
              </w:rPr>
              <w:t xml:space="preserve"> Heart J. 2021 Apr</w:t>
            </w:r>
            <w:proofErr w:type="gramStart"/>
            <w:r w:rsidR="008E4D40">
              <w:rPr>
                <w:sz w:val="20"/>
                <w:szCs w:val="20"/>
              </w:rPr>
              <w:t>;29</w:t>
            </w:r>
            <w:proofErr w:type="gramEnd"/>
            <w:r w:rsidR="008E4D40">
              <w:rPr>
                <w:sz w:val="20"/>
                <w:szCs w:val="20"/>
              </w:rPr>
              <w:t>(4):230-</w:t>
            </w:r>
            <w:r w:rsidRPr="00BD2A91">
              <w:rPr>
                <w:sz w:val="20"/>
                <w:szCs w:val="20"/>
              </w:rPr>
              <w:t>6.</w:t>
            </w:r>
          </w:p>
        </w:tc>
        <w:tc>
          <w:tcPr>
            <w:tcW w:w="378" w:type="pct"/>
            <w:vAlign w:val="center"/>
          </w:tcPr>
          <w:p w:rsidR="00BD2A91" w:rsidRPr="000022A6" w:rsidRDefault="00BD2A91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BD2A91" w:rsidRPr="000022A6" w:rsidRDefault="008E4D40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6" w:type="pct"/>
            <w:vAlign w:val="center"/>
          </w:tcPr>
          <w:p w:rsidR="00BD2A91" w:rsidRPr="000022A6" w:rsidRDefault="008E4D40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E4D40">
              <w:rPr>
                <w:sz w:val="20"/>
                <w:szCs w:val="20"/>
              </w:rPr>
              <w:t>2.888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BD2A91" w:rsidRPr="000022A6" w:rsidRDefault="00BD2A91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BD2A91" w:rsidRPr="000022A6" w:rsidRDefault="005C70DE" w:rsidP="005C70DE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5C70DE">
              <w:rPr>
                <w:sz w:val="20"/>
                <w:szCs w:val="20"/>
              </w:rPr>
              <w:t>Zdravkovi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5C70DE">
              <w:rPr>
                <w:sz w:val="20"/>
                <w:szCs w:val="20"/>
              </w:rPr>
              <w:t xml:space="preserve"> R, </w:t>
            </w:r>
            <w:proofErr w:type="spellStart"/>
            <w:r w:rsidRPr="005C70DE">
              <w:rPr>
                <w:sz w:val="20"/>
                <w:szCs w:val="20"/>
              </w:rPr>
              <w:t>Red</w:t>
            </w:r>
            <w:r>
              <w:rPr>
                <w:sz w:val="20"/>
                <w:szCs w:val="20"/>
              </w:rPr>
              <w:t>ž</w:t>
            </w:r>
            <w:r w:rsidRPr="005C70DE">
              <w:rPr>
                <w:sz w:val="20"/>
                <w:szCs w:val="20"/>
              </w:rPr>
              <w:t>ek</w:t>
            </w:r>
            <w:proofErr w:type="spellEnd"/>
            <w:r w:rsidRPr="005C70DE">
              <w:rPr>
                <w:sz w:val="20"/>
                <w:szCs w:val="20"/>
              </w:rPr>
              <w:t xml:space="preserve"> A, </w:t>
            </w:r>
            <w:proofErr w:type="spellStart"/>
            <w:r>
              <w:rPr>
                <w:sz w:val="20"/>
                <w:szCs w:val="20"/>
              </w:rPr>
              <w:t>Š</w:t>
            </w:r>
            <w:r w:rsidRPr="005C70DE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š</w:t>
            </w:r>
            <w:r w:rsidRPr="005C70DE">
              <w:rPr>
                <w:sz w:val="20"/>
                <w:szCs w:val="20"/>
              </w:rPr>
              <w:t>ak</w:t>
            </w:r>
            <w:proofErr w:type="spellEnd"/>
            <w:r w:rsidRPr="005C70DE">
              <w:rPr>
                <w:sz w:val="20"/>
                <w:szCs w:val="20"/>
              </w:rPr>
              <w:t xml:space="preserve"> S, </w:t>
            </w:r>
            <w:proofErr w:type="spellStart"/>
            <w:r w:rsidRPr="005C70DE">
              <w:rPr>
                <w:sz w:val="20"/>
                <w:szCs w:val="20"/>
              </w:rPr>
              <w:t>Vu</w:t>
            </w:r>
            <w:r>
              <w:rPr>
                <w:sz w:val="20"/>
                <w:szCs w:val="20"/>
              </w:rPr>
              <w:t>č</w:t>
            </w:r>
            <w:r w:rsidRPr="005C70DE">
              <w:rPr>
                <w:sz w:val="20"/>
                <w:szCs w:val="20"/>
              </w:rPr>
              <w:t>kovi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5C70DE">
              <w:rPr>
                <w:sz w:val="20"/>
                <w:szCs w:val="20"/>
              </w:rPr>
              <w:t xml:space="preserve"> J, </w:t>
            </w:r>
            <w:proofErr w:type="spellStart"/>
            <w:r w:rsidRPr="005C70DE">
              <w:rPr>
                <w:b/>
                <w:sz w:val="20"/>
                <w:szCs w:val="20"/>
              </w:rPr>
              <w:t>Golubović</w:t>
            </w:r>
            <w:proofErr w:type="spellEnd"/>
            <w:r w:rsidRPr="005C70DE">
              <w:rPr>
                <w:b/>
                <w:sz w:val="20"/>
                <w:szCs w:val="20"/>
              </w:rPr>
              <w:t xml:space="preserve"> M</w:t>
            </w:r>
            <w:r w:rsidRPr="005C70DE">
              <w:rPr>
                <w:sz w:val="20"/>
                <w:szCs w:val="20"/>
              </w:rPr>
              <w:t xml:space="preserve">, </w:t>
            </w:r>
            <w:proofErr w:type="spellStart"/>
            <w:r w:rsidRPr="005C70DE">
              <w:rPr>
                <w:sz w:val="20"/>
                <w:szCs w:val="20"/>
              </w:rPr>
              <w:t>Videnovi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5C70DE">
              <w:rPr>
                <w:sz w:val="20"/>
                <w:szCs w:val="20"/>
              </w:rPr>
              <w:t xml:space="preserve"> N, </w:t>
            </w:r>
            <w:r>
              <w:rPr>
                <w:sz w:val="20"/>
                <w:szCs w:val="20"/>
              </w:rPr>
              <w:t>et al</w:t>
            </w:r>
            <w:r w:rsidRPr="005C70DE">
              <w:rPr>
                <w:sz w:val="20"/>
                <w:szCs w:val="20"/>
              </w:rPr>
              <w:t xml:space="preserve">. Unique carotid-vertebral occlusive disease in a patient admitted for cardiac surgery. </w:t>
            </w:r>
            <w:proofErr w:type="spellStart"/>
            <w:r w:rsidRPr="005C70DE">
              <w:rPr>
                <w:sz w:val="20"/>
                <w:szCs w:val="20"/>
              </w:rPr>
              <w:t>Acta</w:t>
            </w:r>
            <w:proofErr w:type="spellEnd"/>
            <w:r w:rsidRPr="005C70D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Cardiol</w:t>
            </w:r>
            <w:proofErr w:type="spellEnd"/>
            <w:r>
              <w:rPr>
                <w:sz w:val="20"/>
                <w:szCs w:val="20"/>
              </w:rPr>
              <w:t>. 2021 Nov</w:t>
            </w:r>
            <w:proofErr w:type="gramStart"/>
            <w:r>
              <w:rPr>
                <w:sz w:val="20"/>
                <w:szCs w:val="20"/>
              </w:rPr>
              <w:t>;76</w:t>
            </w:r>
            <w:proofErr w:type="gramEnd"/>
            <w:r>
              <w:rPr>
                <w:sz w:val="20"/>
                <w:szCs w:val="20"/>
              </w:rPr>
              <w:t>(9):1025-</w:t>
            </w:r>
            <w:r w:rsidRPr="005C70DE">
              <w:rPr>
                <w:sz w:val="20"/>
                <w:szCs w:val="20"/>
              </w:rPr>
              <w:t>6.</w:t>
            </w:r>
          </w:p>
        </w:tc>
        <w:tc>
          <w:tcPr>
            <w:tcW w:w="378" w:type="pct"/>
            <w:vAlign w:val="center"/>
          </w:tcPr>
          <w:p w:rsidR="00BD2A91" w:rsidRPr="000022A6" w:rsidRDefault="00BD2A91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BD2A91" w:rsidRPr="000022A6" w:rsidRDefault="005C70DE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86" w:type="pct"/>
            <w:vAlign w:val="center"/>
          </w:tcPr>
          <w:p w:rsidR="00BD2A91" w:rsidRPr="000022A6" w:rsidRDefault="005C70DE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1.738</w:t>
            </w:r>
          </w:p>
        </w:tc>
      </w:tr>
      <w:tr w:rsidR="003D76FE" w:rsidRPr="00A22864" w:rsidTr="00F776F1">
        <w:trPr>
          <w:trHeight w:val="227"/>
          <w:jc w:val="center"/>
        </w:trPr>
        <w:tc>
          <w:tcPr>
            <w:tcW w:w="349" w:type="pct"/>
            <w:vAlign w:val="center"/>
          </w:tcPr>
          <w:p w:rsidR="00BD2A91" w:rsidRPr="000022A6" w:rsidRDefault="00BD2A91" w:rsidP="00FD74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240" w:type="pct"/>
            <w:gridSpan w:val="8"/>
          </w:tcPr>
          <w:p w:rsidR="00BD2A91" w:rsidRPr="000022A6" w:rsidRDefault="005C70DE" w:rsidP="005C70DE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5C70DE">
              <w:rPr>
                <w:sz w:val="20"/>
                <w:szCs w:val="20"/>
              </w:rPr>
              <w:t>Velicki</w:t>
            </w:r>
            <w:proofErr w:type="spellEnd"/>
            <w:r w:rsidRPr="005C70DE">
              <w:rPr>
                <w:sz w:val="20"/>
                <w:szCs w:val="20"/>
              </w:rPr>
              <w:t xml:space="preserve"> L, </w:t>
            </w:r>
            <w:proofErr w:type="spellStart"/>
            <w:r w:rsidRPr="005C70DE">
              <w:rPr>
                <w:sz w:val="20"/>
                <w:szCs w:val="20"/>
              </w:rPr>
              <w:t>Jakovljevi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5C70DE">
              <w:rPr>
                <w:sz w:val="20"/>
                <w:szCs w:val="20"/>
              </w:rPr>
              <w:t xml:space="preserve"> DG, </w:t>
            </w:r>
            <w:proofErr w:type="spellStart"/>
            <w:r w:rsidRPr="005C70DE">
              <w:rPr>
                <w:sz w:val="20"/>
                <w:szCs w:val="20"/>
              </w:rPr>
              <w:t>Preveden</w:t>
            </w:r>
            <w:proofErr w:type="spellEnd"/>
            <w:r w:rsidRPr="005C70DE">
              <w:rPr>
                <w:sz w:val="20"/>
                <w:szCs w:val="20"/>
              </w:rPr>
              <w:t xml:space="preserve"> A, </w:t>
            </w:r>
            <w:proofErr w:type="spellStart"/>
            <w:r w:rsidRPr="005C70DE">
              <w:rPr>
                <w:b/>
                <w:sz w:val="20"/>
                <w:szCs w:val="20"/>
              </w:rPr>
              <w:t>Golubović</w:t>
            </w:r>
            <w:proofErr w:type="spellEnd"/>
            <w:r w:rsidRPr="005C70DE">
              <w:rPr>
                <w:b/>
                <w:sz w:val="20"/>
                <w:szCs w:val="20"/>
              </w:rPr>
              <w:t xml:space="preserve"> M</w:t>
            </w:r>
            <w:r w:rsidRPr="005C70DE">
              <w:rPr>
                <w:sz w:val="20"/>
                <w:szCs w:val="20"/>
              </w:rPr>
              <w:t xml:space="preserve">, </w:t>
            </w:r>
            <w:proofErr w:type="spellStart"/>
            <w:r w:rsidRPr="005C70DE">
              <w:rPr>
                <w:sz w:val="20"/>
                <w:szCs w:val="20"/>
              </w:rPr>
              <w:t>Bjelobrk</w:t>
            </w:r>
            <w:proofErr w:type="spellEnd"/>
            <w:r w:rsidRPr="005C70DE">
              <w:rPr>
                <w:sz w:val="20"/>
                <w:szCs w:val="20"/>
              </w:rPr>
              <w:t xml:space="preserve"> M, </w:t>
            </w:r>
            <w:proofErr w:type="spellStart"/>
            <w:r w:rsidRPr="005C70DE">
              <w:rPr>
                <w:sz w:val="20"/>
                <w:szCs w:val="20"/>
              </w:rPr>
              <w:t>Ili</w:t>
            </w:r>
            <w:r>
              <w:rPr>
                <w:sz w:val="20"/>
                <w:szCs w:val="20"/>
              </w:rPr>
              <w:t>ć</w:t>
            </w:r>
            <w:proofErr w:type="spellEnd"/>
            <w:r w:rsidRPr="005C70DE">
              <w:rPr>
                <w:sz w:val="20"/>
                <w:szCs w:val="20"/>
              </w:rPr>
              <w:t xml:space="preserve"> A, </w:t>
            </w:r>
            <w:r>
              <w:rPr>
                <w:sz w:val="20"/>
                <w:szCs w:val="20"/>
              </w:rPr>
              <w:t>et al</w:t>
            </w:r>
            <w:r w:rsidRPr="005C70DE">
              <w:rPr>
                <w:sz w:val="20"/>
                <w:szCs w:val="20"/>
              </w:rPr>
              <w:t xml:space="preserve">. Genetic determinants of clinical phenotype in hypertrophic </w:t>
            </w:r>
            <w:proofErr w:type="spellStart"/>
            <w:r w:rsidRPr="005C70DE">
              <w:rPr>
                <w:sz w:val="20"/>
                <w:szCs w:val="20"/>
              </w:rPr>
              <w:t>cardiomyopathy</w:t>
            </w:r>
            <w:proofErr w:type="spellEnd"/>
            <w:r w:rsidRPr="005C70DE">
              <w:rPr>
                <w:sz w:val="20"/>
                <w:szCs w:val="20"/>
              </w:rPr>
              <w:t xml:space="preserve">. BMC </w:t>
            </w:r>
            <w:proofErr w:type="spellStart"/>
            <w:r w:rsidRPr="005C70DE">
              <w:rPr>
                <w:sz w:val="20"/>
                <w:szCs w:val="20"/>
              </w:rPr>
              <w:t>Cardiovasc</w:t>
            </w:r>
            <w:proofErr w:type="spellEnd"/>
            <w:r w:rsidRPr="005C70DE">
              <w:rPr>
                <w:sz w:val="20"/>
                <w:szCs w:val="20"/>
              </w:rPr>
              <w:t xml:space="preserve"> </w:t>
            </w:r>
            <w:proofErr w:type="spellStart"/>
            <w:r w:rsidRPr="005C70DE">
              <w:rPr>
                <w:sz w:val="20"/>
                <w:szCs w:val="20"/>
              </w:rPr>
              <w:t>Disord</w:t>
            </w:r>
            <w:proofErr w:type="spellEnd"/>
            <w:r w:rsidRPr="005C70DE">
              <w:rPr>
                <w:sz w:val="20"/>
                <w:szCs w:val="20"/>
              </w:rPr>
              <w:t>. 2020 Dec 9</w:t>
            </w:r>
            <w:proofErr w:type="gramStart"/>
            <w:r w:rsidRPr="005C70DE">
              <w:rPr>
                <w:sz w:val="20"/>
                <w:szCs w:val="20"/>
              </w:rPr>
              <w:t>;20</w:t>
            </w:r>
            <w:proofErr w:type="gramEnd"/>
            <w:r w:rsidRPr="005C70DE">
              <w:rPr>
                <w:sz w:val="20"/>
                <w:szCs w:val="20"/>
              </w:rPr>
              <w:t>(1):516.</w:t>
            </w:r>
          </w:p>
        </w:tc>
        <w:tc>
          <w:tcPr>
            <w:tcW w:w="378" w:type="pct"/>
            <w:vAlign w:val="center"/>
          </w:tcPr>
          <w:p w:rsidR="00BD2A91" w:rsidRPr="000022A6" w:rsidRDefault="00BD2A91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BD2A91" w:rsidRPr="000022A6" w:rsidRDefault="005C70DE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6" w:type="pct"/>
            <w:vAlign w:val="center"/>
          </w:tcPr>
          <w:p w:rsidR="00BD2A91" w:rsidRPr="000022A6" w:rsidRDefault="005C70DE" w:rsidP="009B435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2.613</w:t>
            </w:r>
          </w:p>
        </w:tc>
      </w:tr>
      <w:tr w:rsidR="00FA083F" w:rsidRPr="00A22864" w:rsidTr="00494424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FA083F" w:rsidRPr="00A22864" w:rsidTr="00494424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FA083F" w:rsidRPr="00A22864" w:rsidTr="003D76FE">
        <w:trPr>
          <w:trHeight w:val="227"/>
          <w:jc w:val="center"/>
        </w:trPr>
        <w:tc>
          <w:tcPr>
            <w:tcW w:w="2433" w:type="pct"/>
            <w:gridSpan w:val="5"/>
            <w:vAlign w:val="center"/>
          </w:tcPr>
          <w:p w:rsidR="00FA083F" w:rsidRPr="00A22864" w:rsidRDefault="00FA083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567" w:type="pct"/>
            <w:gridSpan w:val="7"/>
            <w:vAlign w:val="center"/>
          </w:tcPr>
          <w:p w:rsidR="00FA083F" w:rsidRPr="00FD7403" w:rsidRDefault="00FD7403" w:rsidP="008E1BFA">
            <w:pPr>
              <w:spacing w:after="60"/>
              <w:rPr>
                <w:lang/>
              </w:rPr>
            </w:pPr>
            <w:r>
              <w:rPr>
                <w:lang/>
              </w:rPr>
              <w:t>160</w:t>
            </w:r>
          </w:p>
        </w:tc>
      </w:tr>
      <w:tr w:rsidR="00FA083F" w:rsidRPr="00A22864" w:rsidTr="003D76FE">
        <w:trPr>
          <w:trHeight w:val="227"/>
          <w:jc w:val="center"/>
        </w:trPr>
        <w:tc>
          <w:tcPr>
            <w:tcW w:w="2433" w:type="pct"/>
            <w:gridSpan w:val="5"/>
            <w:vAlign w:val="center"/>
          </w:tcPr>
          <w:p w:rsidR="00FA083F" w:rsidRPr="00A22864" w:rsidRDefault="00FA083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567" w:type="pct"/>
            <w:gridSpan w:val="7"/>
            <w:vAlign w:val="center"/>
          </w:tcPr>
          <w:p w:rsidR="00FA083F" w:rsidRPr="00FD7403" w:rsidRDefault="00531D54" w:rsidP="008E1BFA">
            <w:pPr>
              <w:spacing w:after="60"/>
              <w:rPr>
                <w:lang/>
              </w:rPr>
            </w:pPr>
            <w:r>
              <w:rPr>
                <w:lang/>
              </w:rPr>
              <w:t>31</w:t>
            </w:r>
          </w:p>
        </w:tc>
      </w:tr>
      <w:tr w:rsidR="00FA083F" w:rsidRPr="00A22864" w:rsidTr="003D76FE">
        <w:trPr>
          <w:trHeight w:val="227"/>
          <w:jc w:val="center"/>
        </w:trPr>
        <w:tc>
          <w:tcPr>
            <w:tcW w:w="2433" w:type="pct"/>
            <w:gridSpan w:val="5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881" w:type="pct"/>
            <w:gridSpan w:val="6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686" w:type="pct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FA083F" w:rsidRPr="00A22864" w:rsidTr="003D76FE">
        <w:trPr>
          <w:trHeight w:val="227"/>
          <w:jc w:val="center"/>
        </w:trPr>
        <w:tc>
          <w:tcPr>
            <w:tcW w:w="2433" w:type="pct"/>
            <w:gridSpan w:val="5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1881" w:type="pct"/>
            <w:gridSpan w:val="6"/>
            <w:vAlign w:val="center"/>
          </w:tcPr>
          <w:p w:rsidR="00536DF4" w:rsidRPr="00536DF4" w:rsidRDefault="00531D54" w:rsidP="00536DF4">
            <w:pPr>
              <w:pStyle w:val="ListParagraph"/>
              <w:numPr>
                <w:ilvl w:val="0"/>
                <w:numId w:val="2"/>
              </w:numPr>
              <w:spacing w:after="60"/>
              <w:rPr>
                <w:lang/>
              </w:rPr>
            </w:pPr>
            <w:r w:rsidRPr="00536DF4">
              <w:rPr>
                <w:lang w:val="sr-Cyrl-CS"/>
              </w:rPr>
              <w:t xml:space="preserve">DHZB – Beriln, Nemačka, 2007-2008. Godina 2. St. James’s University Hosital, Leeds, Velika Britanija, 2011. </w:t>
            </w:r>
          </w:p>
          <w:p w:rsidR="00FA083F" w:rsidRPr="00536DF4" w:rsidRDefault="00531D54" w:rsidP="00536DF4">
            <w:pPr>
              <w:pStyle w:val="ListParagraph"/>
              <w:numPr>
                <w:ilvl w:val="0"/>
                <w:numId w:val="2"/>
              </w:numPr>
              <w:spacing w:after="60"/>
              <w:rPr>
                <w:lang w:val="sr-Cyrl-CS"/>
              </w:rPr>
            </w:pPr>
            <w:r w:rsidRPr="00536DF4">
              <w:rPr>
                <w:lang w:val="sr-Cyrl-CS"/>
              </w:rPr>
              <w:lastRenderedPageBreak/>
              <w:t>Godine 3. Pitie-Salpetriere Hospital, Paris, Francuska, 2012. Godine</w:t>
            </w:r>
          </w:p>
        </w:tc>
        <w:tc>
          <w:tcPr>
            <w:tcW w:w="686" w:type="pct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</w:tr>
      <w:tr w:rsidR="00FA083F" w:rsidRPr="00A22864" w:rsidTr="003D76FE">
        <w:trPr>
          <w:trHeight w:val="227"/>
          <w:jc w:val="center"/>
        </w:trPr>
        <w:tc>
          <w:tcPr>
            <w:tcW w:w="2433" w:type="pct"/>
            <w:gridSpan w:val="5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lastRenderedPageBreak/>
              <w:t>Други подаци које сматрате релевантним</w:t>
            </w:r>
          </w:p>
        </w:tc>
        <w:tc>
          <w:tcPr>
            <w:tcW w:w="2567" w:type="pct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</w:tr>
    </w:tbl>
    <w:p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87B6F"/>
    <w:multiLevelType w:val="hybridMultilevel"/>
    <w:tmpl w:val="571A03B0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>
    <w:nsid w:val="2F226642"/>
    <w:multiLevelType w:val="hybridMultilevel"/>
    <w:tmpl w:val="685E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94424"/>
    <w:rsid w:val="003D76FE"/>
    <w:rsid w:val="00442336"/>
    <w:rsid w:val="00494424"/>
    <w:rsid w:val="00505EBB"/>
    <w:rsid w:val="00531D54"/>
    <w:rsid w:val="00536DF4"/>
    <w:rsid w:val="005C70DE"/>
    <w:rsid w:val="008D5074"/>
    <w:rsid w:val="008E4D40"/>
    <w:rsid w:val="00975A90"/>
    <w:rsid w:val="009B4351"/>
    <w:rsid w:val="00A53935"/>
    <w:rsid w:val="00AB00FC"/>
    <w:rsid w:val="00BA32CB"/>
    <w:rsid w:val="00BD2A91"/>
    <w:rsid w:val="00EA25FB"/>
    <w:rsid w:val="00F776F1"/>
    <w:rsid w:val="00F83117"/>
    <w:rsid w:val="00FA083F"/>
    <w:rsid w:val="00FA753F"/>
    <w:rsid w:val="00FD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9B43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7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bson.nb.rs/nauka_u_srbiji.132.html?autor=Golubovic%20Miodrag&amp;samoar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aleksandra.biberdzic</cp:lastModifiedBy>
  <cp:revision>11</cp:revision>
  <dcterms:created xsi:type="dcterms:W3CDTF">2020-10-30T10:45:00Z</dcterms:created>
  <dcterms:modified xsi:type="dcterms:W3CDTF">2026-03-04T12:36:00Z</dcterms:modified>
</cp:coreProperties>
</file>