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880"/>
        <w:gridCol w:w="875"/>
        <w:gridCol w:w="2444"/>
        <w:gridCol w:w="995"/>
        <w:gridCol w:w="209"/>
        <w:gridCol w:w="1042"/>
        <w:gridCol w:w="26"/>
        <w:gridCol w:w="231"/>
        <w:gridCol w:w="375"/>
        <w:gridCol w:w="938"/>
        <w:gridCol w:w="649"/>
        <w:gridCol w:w="711"/>
      </w:tblGrid>
      <w:tr w:rsidR="00494424" w:rsidRPr="00A22864" w:rsidTr="00E705C0">
        <w:trPr>
          <w:trHeight w:val="227"/>
          <w:jc w:val="center"/>
        </w:trPr>
        <w:tc>
          <w:tcPr>
            <w:tcW w:w="1240" w:type="pct"/>
            <w:gridSpan w:val="3"/>
            <w:vAlign w:val="center"/>
          </w:tcPr>
          <w:p w:rsidR="00494424" w:rsidRPr="00A22864" w:rsidRDefault="00494424" w:rsidP="00270BE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760" w:type="pct"/>
            <w:gridSpan w:val="10"/>
            <w:vAlign w:val="center"/>
          </w:tcPr>
          <w:p w:rsidR="00494424" w:rsidRPr="00A22864" w:rsidRDefault="00831544" w:rsidP="00270BEA">
            <w:pPr>
              <w:spacing w:after="60"/>
              <w:rPr>
                <w:lang w:val="sr-Cyrl-CS"/>
              </w:rPr>
            </w:pPr>
            <w:hyperlink r:id="rId4" w:anchor=".X-dq1thKhPY" w:history="1">
              <w:r w:rsidR="00E705C0" w:rsidRPr="00FA05CD">
                <w:rPr>
                  <w:rStyle w:val="Hyperlink"/>
                  <w:lang w:val="sr-Cyrl-CS"/>
                </w:rPr>
                <w:t xml:space="preserve">Стеван </w:t>
              </w:r>
              <w:r w:rsidR="00256D57">
                <w:rPr>
                  <w:rStyle w:val="Hyperlink"/>
                  <w:lang w:val="sr-Cyrl-CS"/>
                </w:rPr>
                <w:t xml:space="preserve">В. </w:t>
              </w:r>
              <w:r w:rsidR="00E705C0" w:rsidRPr="00FA05CD">
                <w:rPr>
                  <w:rStyle w:val="Hyperlink"/>
                  <w:lang w:val="sr-Cyrl-CS"/>
                </w:rPr>
                <w:t>Милатовић</w:t>
              </w:r>
            </w:hyperlink>
            <w:bookmarkStart w:id="0" w:name="_GoBack"/>
            <w:bookmarkEnd w:id="0"/>
          </w:p>
        </w:tc>
      </w:tr>
      <w:tr w:rsidR="00494424" w:rsidRPr="00A22864" w:rsidTr="00E705C0">
        <w:trPr>
          <w:trHeight w:val="227"/>
          <w:jc w:val="center"/>
        </w:trPr>
        <w:tc>
          <w:tcPr>
            <w:tcW w:w="1240" w:type="pct"/>
            <w:gridSpan w:val="3"/>
            <w:vAlign w:val="center"/>
          </w:tcPr>
          <w:p w:rsidR="00494424" w:rsidRPr="00A22864" w:rsidRDefault="00494424" w:rsidP="00270BE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760" w:type="pct"/>
            <w:gridSpan w:val="10"/>
            <w:vAlign w:val="center"/>
          </w:tcPr>
          <w:p w:rsidR="00494424" w:rsidRPr="00A22864" w:rsidRDefault="00E705C0" w:rsidP="00270BE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E705C0">
        <w:trPr>
          <w:trHeight w:val="227"/>
          <w:jc w:val="center"/>
        </w:trPr>
        <w:tc>
          <w:tcPr>
            <w:tcW w:w="1240" w:type="pct"/>
            <w:gridSpan w:val="3"/>
            <w:vAlign w:val="center"/>
          </w:tcPr>
          <w:p w:rsidR="00494424" w:rsidRPr="00A22864" w:rsidRDefault="00494424" w:rsidP="00270BE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760" w:type="pct"/>
            <w:gridSpan w:val="10"/>
            <w:vAlign w:val="center"/>
          </w:tcPr>
          <w:p w:rsidR="00494424" w:rsidRPr="00A22864" w:rsidRDefault="00E705C0" w:rsidP="00270BE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808" w:type="pct"/>
            <w:gridSpan w:val="2"/>
            <w:vAlign w:val="center"/>
          </w:tcPr>
          <w:p w:rsidR="00494424" w:rsidRPr="00A22864" w:rsidRDefault="00494424" w:rsidP="00270BE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2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2327" w:type="pct"/>
            <w:gridSpan w:val="5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433" w:type="pct"/>
            <w:gridSpan w:val="5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808" w:type="pct"/>
            <w:gridSpan w:val="2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2" w:type="pct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2020.</w:t>
            </w:r>
          </w:p>
        </w:tc>
        <w:tc>
          <w:tcPr>
            <w:tcW w:w="232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33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808" w:type="pct"/>
            <w:gridSpan w:val="2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2" w:type="pct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2014.</w:t>
            </w:r>
          </w:p>
        </w:tc>
        <w:tc>
          <w:tcPr>
            <w:tcW w:w="232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33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808" w:type="pct"/>
            <w:gridSpan w:val="2"/>
            <w:vAlign w:val="center"/>
          </w:tcPr>
          <w:p w:rsidR="00E705C0" w:rsidRPr="00975A90" w:rsidRDefault="00E705C0" w:rsidP="00E705C0">
            <w:pPr>
              <w:spacing w:after="60"/>
            </w:pPr>
            <w:r>
              <w:t>Специјализација</w:t>
            </w:r>
          </w:p>
        </w:tc>
        <w:tc>
          <w:tcPr>
            <w:tcW w:w="432" w:type="pct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232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33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Гинекологија и акушерство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808" w:type="pct"/>
            <w:gridSpan w:val="2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2" w:type="pct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</w:tc>
        <w:tc>
          <w:tcPr>
            <w:tcW w:w="232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1433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E705C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72" w:type="pct"/>
            <w:gridSpan w:val="3"/>
            <w:vAlign w:val="center"/>
          </w:tcPr>
          <w:p w:rsidR="00E705C0" w:rsidRPr="001017E1" w:rsidRDefault="00E705C0" w:rsidP="00E705C0">
            <w:pPr>
              <w:spacing w:after="60"/>
            </w:pPr>
            <w:r w:rsidRPr="001017E1">
              <w:rPr>
                <w:lang w:val="sr-Cyrl-CS"/>
              </w:rPr>
              <w:t>Наслов дисертације</w:t>
            </w:r>
            <w:r w:rsidRPr="001017E1">
              <w:t xml:space="preserve">- докторског уметничког пројекта </w:t>
            </w:r>
          </w:p>
        </w:tc>
        <w:tc>
          <w:tcPr>
            <w:tcW w:w="594" w:type="pct"/>
            <w:gridSpan w:val="2"/>
            <w:vAlign w:val="center"/>
          </w:tcPr>
          <w:p w:rsidR="00E705C0" w:rsidRPr="001017E1" w:rsidRDefault="00E705C0" w:rsidP="00E705C0">
            <w:pPr>
              <w:spacing w:after="60"/>
              <w:rPr>
                <w:lang w:val="sr-Cyrl-CS"/>
              </w:rPr>
            </w:pPr>
            <w:r w:rsidRPr="001017E1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:rsidR="00E705C0" w:rsidRPr="001017E1" w:rsidRDefault="00E705C0" w:rsidP="00E705C0">
            <w:pPr>
              <w:spacing w:after="60"/>
              <w:rPr>
                <w:lang w:val="sr-Cyrl-CS"/>
              </w:rPr>
            </w:pPr>
            <w:r w:rsidRPr="001017E1">
              <w:rPr>
                <w:lang w:val="sr-Cyrl-CS"/>
              </w:rPr>
              <w:t xml:space="preserve">*пријављена </w:t>
            </w:r>
          </w:p>
        </w:tc>
        <w:tc>
          <w:tcPr>
            <w:tcW w:w="1319" w:type="pct"/>
            <w:gridSpan w:val="4"/>
            <w:vAlign w:val="center"/>
          </w:tcPr>
          <w:p w:rsidR="00E705C0" w:rsidRPr="001017E1" w:rsidRDefault="00E705C0" w:rsidP="00E705C0">
            <w:pPr>
              <w:spacing w:after="60"/>
              <w:rPr>
                <w:lang w:val="sr-Cyrl-CS"/>
              </w:rPr>
            </w:pPr>
            <w:r w:rsidRPr="001017E1">
              <w:rPr>
                <w:lang w:val="sr-Cyrl-CS"/>
              </w:rPr>
              <w:t>** одбрањена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E705C0" w:rsidRPr="00FA05CD" w:rsidRDefault="00FA05CD" w:rsidP="00E705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72" w:type="pct"/>
            <w:gridSpan w:val="3"/>
            <w:vAlign w:val="center"/>
          </w:tcPr>
          <w:p w:rsidR="00E705C0" w:rsidRPr="00FA05CD" w:rsidRDefault="00FA05CD" w:rsidP="00E705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94" w:type="pct"/>
            <w:gridSpan w:val="2"/>
            <w:vAlign w:val="center"/>
          </w:tcPr>
          <w:p w:rsidR="00E705C0" w:rsidRPr="00FA05CD" w:rsidRDefault="00FA05CD" w:rsidP="00E705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1" w:type="pct"/>
            <w:gridSpan w:val="3"/>
            <w:vAlign w:val="center"/>
          </w:tcPr>
          <w:p w:rsidR="00E705C0" w:rsidRPr="00FA05CD" w:rsidRDefault="00FA05CD" w:rsidP="00E705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9" w:type="pct"/>
            <w:gridSpan w:val="4"/>
            <w:vAlign w:val="center"/>
          </w:tcPr>
          <w:p w:rsidR="00E705C0" w:rsidRPr="00FA05CD" w:rsidRDefault="00FA05CD" w:rsidP="00E705C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05C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05C0" w:rsidRPr="00A22864" w:rsidRDefault="00E705C0" w:rsidP="00E705C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E705C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05C0" w:rsidRPr="00FA083F" w:rsidRDefault="00E705C0" w:rsidP="00E705C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E705C0" w:rsidRPr="00975A90" w:rsidRDefault="00E705C0" w:rsidP="00E705C0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2" w:type="pct"/>
            <w:gridSpan w:val="9"/>
          </w:tcPr>
          <w:p w:rsidR="00E705C0" w:rsidRPr="00975A90" w:rsidRDefault="00E705C0" w:rsidP="00E705C0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63" w:type="pct"/>
          </w:tcPr>
          <w:p w:rsidR="00E705C0" w:rsidRPr="00975A90" w:rsidRDefault="00E705C0" w:rsidP="00E705C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20" w:type="pct"/>
          </w:tcPr>
          <w:p w:rsidR="00E705C0" w:rsidRPr="00975A90" w:rsidRDefault="00E705C0" w:rsidP="00E705C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1" w:type="pct"/>
          </w:tcPr>
          <w:p w:rsidR="00E705C0" w:rsidRPr="00975A90" w:rsidRDefault="00E705C0" w:rsidP="00E705C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E21D5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 xml:space="preserve">1. </w:t>
            </w:r>
          </w:p>
        </w:tc>
        <w:tc>
          <w:tcPr>
            <w:tcW w:w="3492" w:type="pct"/>
            <w:gridSpan w:val="9"/>
          </w:tcPr>
          <w:p w:rsidR="004E21D5" w:rsidRPr="004E21D5" w:rsidRDefault="004E21D5" w:rsidP="004E21D5">
            <w:pPr>
              <w:jc w:val="both"/>
              <w:rPr>
                <w:lang w:val="en-US"/>
              </w:rPr>
            </w:pPr>
            <w:r w:rsidRPr="004E21D5">
              <w:rPr>
                <w:color w:val="212121"/>
                <w:shd w:val="clear" w:color="auto" w:fill="FFFFFF"/>
              </w:rPr>
              <w:t xml:space="preserve">Pogrmic-Majkic K, Samardzija Nenadov D, Stanic B, </w:t>
            </w:r>
            <w:r w:rsidRPr="004E21D5">
              <w:rPr>
                <w:b/>
                <w:color w:val="212121"/>
                <w:shd w:val="clear" w:color="auto" w:fill="FFFFFF"/>
              </w:rPr>
              <w:t>Milatovic S,</w:t>
            </w:r>
            <w:r w:rsidRPr="004E21D5">
              <w:rPr>
                <w:color w:val="212121"/>
                <w:shd w:val="clear" w:color="auto" w:fill="FFFFFF"/>
              </w:rPr>
              <w:t xml:space="preserve"> Trninic-Pjevic A, Kopitovic V et al. </w:t>
            </w:r>
            <w:hyperlink r:id="rId5" w:history="1">
              <w:r w:rsidRPr="004E21D5">
                <w:rPr>
                  <w:rStyle w:val="Hyperlink"/>
                  <w:shd w:val="clear" w:color="auto" w:fill="FFFFFF"/>
                </w:rPr>
                <w:t>T-2 toxin downregulates LHCGR expression, steroidogenesis, and cAMP level in human cumulus granulosa cells</w:t>
              </w:r>
            </w:hyperlink>
            <w:r w:rsidRPr="004E21D5">
              <w:rPr>
                <w:color w:val="212121"/>
                <w:shd w:val="clear" w:color="auto" w:fill="FFFFFF"/>
              </w:rPr>
              <w:t>. </w:t>
            </w:r>
            <w:r w:rsidRPr="004E21D5">
              <w:rPr>
                <w:iCs/>
                <w:color w:val="212121"/>
                <w:shd w:val="clear" w:color="auto" w:fill="FFFFFF"/>
              </w:rPr>
              <w:t>Environ Toxicol</w:t>
            </w:r>
            <w:r w:rsidRPr="004E21D5">
              <w:rPr>
                <w:color w:val="212121"/>
                <w:shd w:val="clear" w:color="auto" w:fill="FFFFFF"/>
              </w:rPr>
              <w:t>. 2019;34(7):844-52.</w:t>
            </w:r>
          </w:p>
        </w:tc>
        <w:tc>
          <w:tcPr>
            <w:tcW w:w="463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21/94</w:t>
            </w:r>
          </w:p>
        </w:tc>
        <w:tc>
          <w:tcPr>
            <w:tcW w:w="320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21</w:t>
            </w:r>
          </w:p>
        </w:tc>
        <w:tc>
          <w:tcPr>
            <w:tcW w:w="351" w:type="pct"/>
            <w:vAlign w:val="center"/>
          </w:tcPr>
          <w:p w:rsidR="004E21D5" w:rsidRPr="004E21D5" w:rsidRDefault="004E21D5" w:rsidP="004E21D5">
            <w:pPr>
              <w:jc w:val="both"/>
              <w:rPr>
                <w:lang w:val="sr-Cyrl-CS"/>
              </w:rPr>
            </w:pPr>
            <w:r w:rsidRPr="004E21D5">
              <w:t>3.118</w:t>
            </w:r>
          </w:p>
        </w:tc>
      </w:tr>
      <w:tr w:rsidR="004E21D5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2.</w:t>
            </w:r>
          </w:p>
        </w:tc>
        <w:tc>
          <w:tcPr>
            <w:tcW w:w="3492" w:type="pct"/>
            <w:gridSpan w:val="9"/>
          </w:tcPr>
          <w:p w:rsidR="004E21D5" w:rsidRPr="004E21D5" w:rsidRDefault="004E21D5" w:rsidP="004E21D5">
            <w:pPr>
              <w:jc w:val="both"/>
              <w:rPr>
                <w:lang w:val="en-US"/>
              </w:rPr>
            </w:pPr>
            <w:r w:rsidRPr="004E21D5">
              <w:rPr>
                <w:lang w:val="en-US"/>
              </w:rPr>
              <w:t xml:space="preserve">Drakopoulos P, van de Vijver A, Schutyser V, </w:t>
            </w:r>
            <w:r w:rsidRPr="004E21D5">
              <w:rPr>
                <w:b/>
                <w:lang w:val="en-US"/>
              </w:rPr>
              <w:t>Milatovic S</w:t>
            </w:r>
            <w:r w:rsidRPr="004E21D5">
              <w:rPr>
                <w:lang w:val="en-US"/>
              </w:rPr>
              <w:t xml:space="preserve">, Anckaert E, Schiettecatte J, et al. </w:t>
            </w:r>
            <w:hyperlink r:id="rId6" w:history="1">
              <w:r w:rsidRPr="004E21D5">
                <w:rPr>
                  <w:rStyle w:val="Hyperlink"/>
                  <w:lang w:val="en-US"/>
                </w:rPr>
                <w:t>The effect of serum vitamin D levels on ovarian reserve markers: a prospective cross-sectional study</w:t>
              </w:r>
            </w:hyperlink>
            <w:r w:rsidRPr="004E21D5">
              <w:rPr>
                <w:lang w:val="en-US"/>
              </w:rPr>
              <w:t>. Hum Reprod. 2017;32(1):208-14.</w:t>
            </w:r>
          </w:p>
        </w:tc>
        <w:tc>
          <w:tcPr>
            <w:tcW w:w="463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4/81</w:t>
            </w:r>
          </w:p>
        </w:tc>
        <w:tc>
          <w:tcPr>
            <w:tcW w:w="320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21a</w:t>
            </w:r>
          </w:p>
        </w:tc>
        <w:tc>
          <w:tcPr>
            <w:tcW w:w="351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4.990</w:t>
            </w:r>
          </w:p>
        </w:tc>
      </w:tr>
      <w:tr w:rsidR="004E21D5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3.</w:t>
            </w:r>
          </w:p>
        </w:tc>
        <w:tc>
          <w:tcPr>
            <w:tcW w:w="3492" w:type="pct"/>
            <w:gridSpan w:val="9"/>
          </w:tcPr>
          <w:p w:rsidR="004E21D5" w:rsidRPr="004E21D5" w:rsidRDefault="004E21D5" w:rsidP="004E21D5">
            <w:pPr>
              <w:jc w:val="both"/>
              <w:rPr>
                <w:lang w:val="en-US"/>
              </w:rPr>
            </w:pPr>
            <w:r w:rsidRPr="004E21D5">
              <w:rPr>
                <w:lang w:val="en-US"/>
              </w:rPr>
              <w:t xml:space="preserve">Kopitović V, Trninić Pjević A, </w:t>
            </w:r>
            <w:r w:rsidRPr="004E21D5">
              <w:rPr>
                <w:b/>
                <w:lang w:val="en-US"/>
              </w:rPr>
              <w:t>Milatović S.</w:t>
            </w:r>
            <w:r w:rsidRPr="004E21D5">
              <w:rPr>
                <w:lang w:val="en-US"/>
              </w:rPr>
              <w:t xml:space="preserve"> </w:t>
            </w:r>
            <w:hyperlink r:id="rId7" w:history="1">
              <w:r w:rsidRPr="004E21D5">
                <w:rPr>
                  <w:rStyle w:val="Hyperlink"/>
                  <w:lang w:val="en-US"/>
                </w:rPr>
                <w:t>Uloga i doprinos transvaginalne endoskopije u ispitivanju i lečenju neplodnosti</w:t>
              </w:r>
            </w:hyperlink>
            <w:r w:rsidRPr="004E21D5">
              <w:rPr>
                <w:lang w:val="en-US"/>
              </w:rPr>
              <w:t>. Srp Arh Celok Lek. 2013;141(11-12):830-4.</w:t>
            </w:r>
          </w:p>
        </w:tc>
        <w:tc>
          <w:tcPr>
            <w:tcW w:w="463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148/156</w:t>
            </w:r>
          </w:p>
        </w:tc>
        <w:tc>
          <w:tcPr>
            <w:tcW w:w="320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23</w:t>
            </w:r>
          </w:p>
        </w:tc>
        <w:tc>
          <w:tcPr>
            <w:tcW w:w="351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0.169</w:t>
            </w:r>
          </w:p>
        </w:tc>
      </w:tr>
      <w:tr w:rsidR="004E21D5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4.</w:t>
            </w:r>
          </w:p>
        </w:tc>
        <w:tc>
          <w:tcPr>
            <w:tcW w:w="3492" w:type="pct"/>
            <w:gridSpan w:val="9"/>
          </w:tcPr>
          <w:p w:rsidR="004E21D5" w:rsidRPr="004E21D5" w:rsidRDefault="004E21D5" w:rsidP="004E21D5">
            <w:pPr>
              <w:jc w:val="both"/>
            </w:pPr>
            <w:r w:rsidRPr="004E21D5">
              <w:t xml:space="preserve">Bertossa P, Novakov Mikic A, Stupar ZT, </w:t>
            </w:r>
            <w:r w:rsidRPr="004E21D5">
              <w:rPr>
                <w:b/>
              </w:rPr>
              <w:t>Milatovic S</w:t>
            </w:r>
            <w:r w:rsidRPr="004E21D5">
              <w:t xml:space="preserve">, Boulvain M, Irion O, et al. </w:t>
            </w:r>
            <w:hyperlink r:id="rId8" w:history="1">
              <w:r w:rsidRPr="004E21D5">
                <w:rPr>
                  <w:rStyle w:val="Hyperlink"/>
                </w:rPr>
                <w:t>Validity of clinical and ultrasound variables to predict the risk of cesarean delivery after induction of labor</w:t>
              </w:r>
            </w:hyperlink>
            <w:r w:rsidRPr="004E21D5">
              <w:t>. Obstet Gynecol. 2012;120(1):53-9.</w:t>
            </w:r>
          </w:p>
        </w:tc>
        <w:tc>
          <w:tcPr>
            <w:tcW w:w="463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2/78</w:t>
            </w:r>
          </w:p>
        </w:tc>
        <w:tc>
          <w:tcPr>
            <w:tcW w:w="320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21a</w:t>
            </w:r>
          </w:p>
        </w:tc>
        <w:tc>
          <w:tcPr>
            <w:tcW w:w="351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4.798</w:t>
            </w:r>
          </w:p>
        </w:tc>
      </w:tr>
      <w:tr w:rsidR="004E21D5" w:rsidRPr="00A22864" w:rsidTr="00E705C0">
        <w:trPr>
          <w:trHeight w:val="227"/>
          <w:jc w:val="center"/>
        </w:trPr>
        <w:tc>
          <w:tcPr>
            <w:tcW w:w="374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5.</w:t>
            </w:r>
          </w:p>
        </w:tc>
        <w:tc>
          <w:tcPr>
            <w:tcW w:w="3492" w:type="pct"/>
            <w:gridSpan w:val="9"/>
          </w:tcPr>
          <w:p w:rsidR="004E21D5" w:rsidRPr="004E21D5" w:rsidRDefault="004E21D5" w:rsidP="004E21D5">
            <w:pPr>
              <w:jc w:val="both"/>
            </w:pPr>
            <w:r w:rsidRPr="004E21D5">
              <w:rPr>
                <w:b/>
              </w:rPr>
              <w:t>Milatović S</w:t>
            </w:r>
            <w:r w:rsidRPr="004E21D5">
              <w:t>, Kopitovć VL, Ilić ĐL, Trninić Pjević A, Bjelica A, Đurđević S. Serum level of anti-mullerian hormone as predictor of ovarian response in IVF. HealthMED. 2011;5(6 Suppl 1):2158-62.</w:t>
            </w:r>
          </w:p>
        </w:tc>
        <w:tc>
          <w:tcPr>
            <w:tcW w:w="463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117/155</w:t>
            </w:r>
          </w:p>
        </w:tc>
        <w:tc>
          <w:tcPr>
            <w:tcW w:w="320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23</w:t>
            </w:r>
          </w:p>
        </w:tc>
        <w:tc>
          <w:tcPr>
            <w:tcW w:w="351" w:type="pct"/>
            <w:vAlign w:val="center"/>
          </w:tcPr>
          <w:p w:rsidR="004E21D5" w:rsidRPr="004E21D5" w:rsidRDefault="004E21D5" w:rsidP="004E21D5">
            <w:pPr>
              <w:jc w:val="both"/>
            </w:pPr>
            <w:r w:rsidRPr="004E21D5">
              <w:t>0.435</w:t>
            </w:r>
          </w:p>
        </w:tc>
      </w:tr>
      <w:tr w:rsidR="00E705C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705C0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293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063" w:type="pct"/>
            <w:gridSpan w:val="8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293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063" w:type="pct"/>
            <w:gridSpan w:val="8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293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17" w:type="pct"/>
            <w:gridSpan w:val="2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46" w:type="pct"/>
            <w:gridSpan w:val="6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293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17" w:type="pct"/>
            <w:gridSpan w:val="2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46" w:type="pct"/>
            <w:gridSpan w:val="6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</w:p>
        </w:tc>
      </w:tr>
      <w:tr w:rsidR="00E705C0" w:rsidRPr="00A22864" w:rsidTr="00E705C0">
        <w:trPr>
          <w:trHeight w:val="227"/>
          <w:jc w:val="center"/>
        </w:trPr>
        <w:tc>
          <w:tcPr>
            <w:tcW w:w="2937" w:type="pct"/>
            <w:gridSpan w:val="5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063" w:type="pct"/>
            <w:gridSpan w:val="8"/>
            <w:vAlign w:val="center"/>
          </w:tcPr>
          <w:p w:rsidR="00E705C0" w:rsidRPr="00A22864" w:rsidRDefault="00E705C0" w:rsidP="00E705C0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424"/>
    <w:rsid w:val="001017E1"/>
    <w:rsid w:val="0016165C"/>
    <w:rsid w:val="001F62DE"/>
    <w:rsid w:val="00256D57"/>
    <w:rsid w:val="00270BEA"/>
    <w:rsid w:val="00494424"/>
    <w:rsid w:val="004E21D5"/>
    <w:rsid w:val="00505EBB"/>
    <w:rsid w:val="00831544"/>
    <w:rsid w:val="00975A90"/>
    <w:rsid w:val="00AB00FC"/>
    <w:rsid w:val="00E705C0"/>
    <w:rsid w:val="00EA25FB"/>
    <w:rsid w:val="00FA05CD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nhideWhenUsed/>
    <w:rsid w:val="00E70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greenjournal/Fulltext/2012/07000/Validity_of_Clinical_and_Ultrasound_Variables_to.1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serbia.nb.rs/img/doi/0370-8179/2013/0370-81791312830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ermark.silverchair.com/dew304.pdf?token=AQECAHi208BE49Ooan9kkhW_Ercy7Dm3ZL_9Cf3qfKAc485ysgAAAqgwggKkBgkqhkiG9w0BBwagggKVMIICkQIBADCCAooGCSqGSIb3DQEHATAeBglghkgBZQMEAS4wEQQMrJJwkSpomZkqRIfeAgEQgIICWz58Lm0qFf6dsRSX5Pw_HKSAyt8-OZQiWE8M0jLCp5uddmrNP" TargetMode="External"/><Relationship Id="rId5" Type="http://schemas.openxmlformats.org/officeDocument/2006/relationships/hyperlink" Target="https://ezproxy.nb.rs:2069/doi/full/10.1002/tox.227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bson.nb.rs/nauka_u_srbiji.132.html?autor=Milatovic%20Stevan%20V&amp;samoa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24" baseType="variant"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https://journals.lww.com/greenjournal/Fulltext/2012/07000/Validity_of_Clinical_and_Ultrasound_Variables_to.11.aspx</vt:lpwstr>
      </vt:variant>
      <vt:variant>
        <vt:lpwstr/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http://www.doiserbia.nb.rs/img/doi/0370-8179/2013/0370-81791312830K.pdf</vt:lpwstr>
      </vt:variant>
      <vt:variant>
        <vt:lpwstr/>
      </vt:variant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https://watermark.silverchair.com/dew304.pdf?token=AQECAHi208BE49Ooan9kkhW_Ercy7Dm3ZL_9Cf3qfKAc485ysgAAAqgwggKkBgkqhkiG9w0BBwagggKVMIICkQIBADCCAooGCSqGSIb3DQEHATAeBglghkgBZQMEAS4wEQQMrJJwkSpomZkqRIfeAgEQgIICWz58Lm0qFf6dsRSX5Pw_HKSAyt8-OZQiWE8M0jLCp5uddmrNP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https://ezproxy.nb.rs:2069/doi/full/10.1002/tox.22752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Biljana Srdic Galic</cp:lastModifiedBy>
  <cp:revision>3</cp:revision>
  <dcterms:created xsi:type="dcterms:W3CDTF">2020-12-26T16:55:00Z</dcterms:created>
  <dcterms:modified xsi:type="dcterms:W3CDTF">2020-12-28T11:16:00Z</dcterms:modified>
</cp:coreProperties>
</file>