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459" w:type="pct"/>
        <w:jc w:val="center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1929"/>
        <w:gridCol w:w="981"/>
        <w:gridCol w:w="8"/>
        <w:gridCol w:w="1485"/>
        <w:gridCol w:w="763"/>
        <w:gridCol w:w="326"/>
        <w:gridCol w:w="280"/>
        <w:gridCol w:w="1058"/>
        <w:gridCol w:w="259"/>
        <w:gridCol w:w="516"/>
        <w:gridCol w:w="723"/>
        <w:gridCol w:w="723"/>
        <w:gridCol w:w="713"/>
      </w:tblGrid>
      <w:tr w:rsidR="00494424" w:rsidRPr="00A22864" w:rsidTr="0033391D">
        <w:trPr>
          <w:trHeight w:val="227"/>
          <w:jc w:val="center"/>
        </w:trPr>
        <w:tc>
          <w:tcPr>
            <w:tcW w:w="172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279" w:type="pct"/>
            <w:gridSpan w:val="11"/>
            <w:vAlign w:val="center"/>
          </w:tcPr>
          <w:p w:rsidR="00494424" w:rsidRPr="00046CF7" w:rsidRDefault="00046CF7" w:rsidP="008E1BFA">
            <w:pPr>
              <w:spacing w:after="60"/>
              <w:rPr>
                <w:lang/>
              </w:rPr>
            </w:pPr>
            <w:hyperlink r:id="rId5" w:history="1">
              <w:r w:rsidRPr="00046CF7">
                <w:rPr>
                  <w:rStyle w:val="Hyperlink"/>
                  <w:lang/>
                </w:rPr>
                <w:t>Ивана Коларов Бјелобрк</w:t>
              </w:r>
            </w:hyperlink>
          </w:p>
        </w:tc>
      </w:tr>
      <w:tr w:rsidR="00494424" w:rsidRPr="00A22864" w:rsidTr="0033391D">
        <w:trPr>
          <w:trHeight w:val="227"/>
          <w:jc w:val="center"/>
        </w:trPr>
        <w:tc>
          <w:tcPr>
            <w:tcW w:w="172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279" w:type="pct"/>
            <w:gridSpan w:val="11"/>
            <w:vAlign w:val="center"/>
          </w:tcPr>
          <w:p w:rsidR="00494424" w:rsidRPr="00A22864" w:rsidRDefault="00046CF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Ванредни професор</w:t>
            </w:r>
          </w:p>
        </w:tc>
      </w:tr>
      <w:tr w:rsidR="00494424" w:rsidRPr="00A22864" w:rsidTr="0033391D">
        <w:trPr>
          <w:trHeight w:val="227"/>
          <w:jc w:val="center"/>
        </w:trPr>
        <w:tc>
          <w:tcPr>
            <w:tcW w:w="172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>, уметничка о</w:t>
            </w:r>
            <w:bookmarkStart w:id="0" w:name="_GoBack"/>
            <w:bookmarkEnd w:id="0"/>
            <w:r>
              <w:rPr>
                <w:b/>
                <w:lang w:val="sr-Cyrl-CS"/>
              </w:rPr>
              <w:t xml:space="preserve">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279" w:type="pct"/>
            <w:gridSpan w:val="11"/>
            <w:vAlign w:val="center"/>
          </w:tcPr>
          <w:p w:rsidR="00494424" w:rsidRPr="00A22864" w:rsidRDefault="00046CF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 (онкологија)</w:t>
            </w:r>
          </w:p>
        </w:tc>
      </w:tr>
      <w:tr w:rsidR="00975A90" w:rsidRPr="00A22864" w:rsidTr="0033391D">
        <w:trPr>
          <w:trHeight w:val="227"/>
          <w:jc w:val="center"/>
        </w:trPr>
        <w:tc>
          <w:tcPr>
            <w:tcW w:w="125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73" w:type="pct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075" w:type="pct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200" w:type="pct"/>
            <w:gridSpan w:val="8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:rsidTr="0033391D">
        <w:trPr>
          <w:trHeight w:val="227"/>
          <w:jc w:val="center"/>
        </w:trPr>
        <w:tc>
          <w:tcPr>
            <w:tcW w:w="125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73" w:type="pct"/>
            <w:gridSpan w:val="2"/>
            <w:vAlign w:val="center"/>
          </w:tcPr>
          <w:p w:rsidR="00494424" w:rsidRPr="00A22864" w:rsidRDefault="00046CF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2025.</w:t>
            </w:r>
          </w:p>
        </w:tc>
        <w:tc>
          <w:tcPr>
            <w:tcW w:w="1075" w:type="pct"/>
            <w:gridSpan w:val="2"/>
            <w:vAlign w:val="center"/>
          </w:tcPr>
          <w:p w:rsidR="00494424" w:rsidRPr="00A22864" w:rsidRDefault="00046CF7" w:rsidP="008E1BFA">
            <w:pPr>
              <w:spacing w:after="60"/>
              <w:rPr>
                <w:lang w:val="sr-Cyrl-CS"/>
              </w:rPr>
            </w:pPr>
            <w:r w:rsidRPr="00046CF7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00" w:type="pct"/>
            <w:gridSpan w:val="8"/>
            <w:vAlign w:val="center"/>
          </w:tcPr>
          <w:p w:rsidR="00494424" w:rsidRPr="00A22864" w:rsidRDefault="00046CF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 (онкологија)</w:t>
            </w:r>
          </w:p>
        </w:tc>
      </w:tr>
      <w:tr w:rsidR="00975A90" w:rsidRPr="00A22864" w:rsidTr="0033391D">
        <w:trPr>
          <w:trHeight w:val="227"/>
          <w:jc w:val="center"/>
        </w:trPr>
        <w:tc>
          <w:tcPr>
            <w:tcW w:w="125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73" w:type="pct"/>
            <w:gridSpan w:val="2"/>
            <w:vAlign w:val="center"/>
          </w:tcPr>
          <w:p w:rsidR="00494424" w:rsidRPr="00A22864" w:rsidRDefault="00046CF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2016.</w:t>
            </w:r>
          </w:p>
        </w:tc>
        <w:tc>
          <w:tcPr>
            <w:tcW w:w="1075" w:type="pct"/>
            <w:gridSpan w:val="2"/>
            <w:vAlign w:val="center"/>
          </w:tcPr>
          <w:p w:rsidR="00494424" w:rsidRPr="00A22864" w:rsidRDefault="00046CF7" w:rsidP="008E1BFA">
            <w:pPr>
              <w:spacing w:after="60"/>
              <w:rPr>
                <w:lang w:val="sr-Cyrl-CS"/>
              </w:rPr>
            </w:pPr>
            <w:r w:rsidRPr="00046CF7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00" w:type="pct"/>
            <w:gridSpan w:val="8"/>
            <w:vAlign w:val="center"/>
          </w:tcPr>
          <w:p w:rsidR="00494424" w:rsidRPr="00A22864" w:rsidRDefault="00046CF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Онкологија</w:t>
            </w:r>
          </w:p>
        </w:tc>
      </w:tr>
      <w:tr w:rsidR="00975A90" w:rsidRPr="00A22864" w:rsidTr="0033391D">
        <w:trPr>
          <w:trHeight w:val="227"/>
          <w:jc w:val="center"/>
        </w:trPr>
        <w:tc>
          <w:tcPr>
            <w:tcW w:w="1252" w:type="pct"/>
            <w:gridSpan w:val="2"/>
            <w:vAlign w:val="center"/>
          </w:tcPr>
          <w:p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73" w:type="pct"/>
            <w:gridSpan w:val="2"/>
            <w:vAlign w:val="center"/>
          </w:tcPr>
          <w:p w:rsidR="00975A90" w:rsidRPr="00A22864" w:rsidRDefault="00046CF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2018.</w:t>
            </w:r>
          </w:p>
        </w:tc>
        <w:tc>
          <w:tcPr>
            <w:tcW w:w="1075" w:type="pct"/>
            <w:gridSpan w:val="2"/>
            <w:vAlign w:val="center"/>
          </w:tcPr>
          <w:p w:rsidR="00975A90" w:rsidRPr="00A22864" w:rsidRDefault="00046CF7" w:rsidP="008E1BFA">
            <w:pPr>
              <w:spacing w:after="60"/>
              <w:rPr>
                <w:lang w:val="sr-Cyrl-CS"/>
              </w:rPr>
            </w:pPr>
            <w:r w:rsidRPr="00046CF7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00" w:type="pct"/>
            <w:gridSpan w:val="8"/>
            <w:vAlign w:val="center"/>
          </w:tcPr>
          <w:p w:rsidR="00975A90" w:rsidRPr="00A22864" w:rsidRDefault="00046CF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Интернистичка онкологија</w:t>
            </w:r>
          </w:p>
        </w:tc>
      </w:tr>
      <w:tr w:rsidR="00975A90" w:rsidRPr="00A22864" w:rsidTr="0033391D">
        <w:trPr>
          <w:trHeight w:val="227"/>
          <w:jc w:val="center"/>
        </w:trPr>
        <w:tc>
          <w:tcPr>
            <w:tcW w:w="1252" w:type="pct"/>
            <w:gridSpan w:val="2"/>
            <w:vAlign w:val="center"/>
          </w:tcPr>
          <w:p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73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075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00" w:type="pct"/>
            <w:gridSpan w:val="8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:rsidTr="0033391D">
        <w:trPr>
          <w:trHeight w:val="227"/>
          <w:jc w:val="center"/>
        </w:trPr>
        <w:tc>
          <w:tcPr>
            <w:tcW w:w="1252" w:type="pct"/>
            <w:gridSpan w:val="2"/>
            <w:vAlign w:val="center"/>
          </w:tcPr>
          <w:p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73" w:type="pct"/>
            <w:gridSpan w:val="2"/>
            <w:vAlign w:val="center"/>
          </w:tcPr>
          <w:p w:rsidR="00494424" w:rsidRPr="00A22864" w:rsidRDefault="00046CF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2007.</w:t>
            </w:r>
          </w:p>
        </w:tc>
        <w:tc>
          <w:tcPr>
            <w:tcW w:w="1075" w:type="pct"/>
            <w:gridSpan w:val="2"/>
            <w:vAlign w:val="center"/>
          </w:tcPr>
          <w:p w:rsidR="00494424" w:rsidRPr="00A22864" w:rsidRDefault="00046CF7" w:rsidP="008E1BFA">
            <w:pPr>
              <w:spacing w:after="60"/>
              <w:rPr>
                <w:lang w:val="sr-Cyrl-CS"/>
              </w:rPr>
            </w:pPr>
            <w:r w:rsidRPr="00046CF7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00" w:type="pct"/>
            <w:gridSpan w:val="8"/>
            <w:vAlign w:val="center"/>
          </w:tcPr>
          <w:p w:rsidR="00494424" w:rsidRPr="00A22864" w:rsidRDefault="00046CF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Онкологија</w:t>
            </w:r>
          </w:p>
        </w:tc>
      </w:tr>
      <w:tr w:rsidR="00975A90" w:rsidRPr="00A22864" w:rsidTr="0033391D">
        <w:trPr>
          <w:trHeight w:val="227"/>
          <w:jc w:val="center"/>
        </w:trPr>
        <w:tc>
          <w:tcPr>
            <w:tcW w:w="125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73" w:type="pct"/>
            <w:gridSpan w:val="2"/>
            <w:vAlign w:val="center"/>
          </w:tcPr>
          <w:p w:rsidR="00494424" w:rsidRPr="00A22864" w:rsidRDefault="00046CF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2007.</w:t>
            </w:r>
          </w:p>
        </w:tc>
        <w:tc>
          <w:tcPr>
            <w:tcW w:w="1075" w:type="pct"/>
            <w:gridSpan w:val="2"/>
            <w:vAlign w:val="center"/>
          </w:tcPr>
          <w:p w:rsidR="00494424" w:rsidRPr="00A22864" w:rsidRDefault="00046CF7" w:rsidP="00046CF7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00" w:type="pct"/>
            <w:gridSpan w:val="8"/>
            <w:vAlign w:val="center"/>
          </w:tcPr>
          <w:p w:rsidR="00494424" w:rsidRPr="00046CF7" w:rsidRDefault="00046CF7" w:rsidP="008E1BFA">
            <w:pPr>
              <w:spacing w:after="60"/>
              <w:rPr>
                <w:lang/>
              </w:rPr>
            </w:pPr>
            <w:r>
              <w:rPr>
                <w:lang w:val="sr-Cyrl-CS"/>
              </w:rPr>
              <w:t>Општа медицина</w:t>
            </w:r>
          </w:p>
        </w:tc>
      </w:tr>
      <w:tr w:rsidR="00494424" w:rsidRPr="00A22864" w:rsidTr="0033391D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:rsidTr="0033391D">
        <w:trPr>
          <w:trHeight w:val="227"/>
          <w:jc w:val="center"/>
        </w:trPr>
        <w:tc>
          <w:tcPr>
            <w:tcW w:w="330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105" w:type="pct"/>
            <w:gridSpan w:val="4"/>
            <w:vAlign w:val="center"/>
          </w:tcPr>
          <w:p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55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30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281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:rsidTr="0033391D">
        <w:trPr>
          <w:trHeight w:val="227"/>
          <w:jc w:val="center"/>
        </w:trPr>
        <w:tc>
          <w:tcPr>
            <w:tcW w:w="330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105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5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30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281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33391D">
        <w:trPr>
          <w:trHeight w:val="227"/>
          <w:jc w:val="center"/>
        </w:trPr>
        <w:tc>
          <w:tcPr>
            <w:tcW w:w="330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105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5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30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281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33391D">
        <w:trPr>
          <w:trHeight w:val="227"/>
          <w:jc w:val="center"/>
        </w:trPr>
        <w:tc>
          <w:tcPr>
            <w:tcW w:w="330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105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5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30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281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33391D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:rsidTr="0033391D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330" w:type="pct"/>
            <w:vAlign w:val="center"/>
          </w:tcPr>
          <w:p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637" w:type="pct"/>
            <w:gridSpan w:val="10"/>
          </w:tcPr>
          <w:p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Публикација</w:t>
            </w:r>
          </w:p>
        </w:tc>
        <w:tc>
          <w:tcPr>
            <w:tcW w:w="346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46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41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330" w:type="pct"/>
            <w:vAlign w:val="center"/>
          </w:tcPr>
          <w:p w:rsidR="00FA083F" w:rsidRPr="000022A6" w:rsidRDefault="00FA083F" w:rsidP="0033391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37" w:type="pct"/>
            <w:gridSpan w:val="10"/>
            <w:vAlign w:val="center"/>
          </w:tcPr>
          <w:p w:rsidR="00FA083F" w:rsidRPr="000022A6" w:rsidRDefault="00046CF7" w:rsidP="00046CF7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046CF7">
              <w:rPr>
                <w:sz w:val="20"/>
                <w:szCs w:val="20"/>
              </w:rPr>
              <w:t>Radić</w:t>
            </w:r>
            <w:proofErr w:type="spellEnd"/>
            <w:r w:rsidRPr="00046CF7">
              <w:rPr>
                <w:sz w:val="20"/>
                <w:szCs w:val="20"/>
              </w:rPr>
              <w:t xml:space="preserve"> J, </w:t>
            </w:r>
            <w:proofErr w:type="spellStart"/>
            <w:r w:rsidRPr="00046CF7">
              <w:rPr>
                <w:sz w:val="20"/>
                <w:szCs w:val="20"/>
              </w:rPr>
              <w:t>Nikolić</w:t>
            </w:r>
            <w:proofErr w:type="spellEnd"/>
            <w:r w:rsidRPr="00046CF7">
              <w:rPr>
                <w:sz w:val="20"/>
                <w:szCs w:val="20"/>
              </w:rPr>
              <w:t xml:space="preserve"> I, </w:t>
            </w:r>
            <w:proofErr w:type="spellStart"/>
            <w:r w:rsidRPr="00046CF7">
              <w:rPr>
                <w:b/>
                <w:sz w:val="20"/>
                <w:szCs w:val="20"/>
              </w:rPr>
              <w:t>Kolarov-Bjelobrk</w:t>
            </w:r>
            <w:proofErr w:type="spellEnd"/>
            <w:r w:rsidRPr="00046CF7">
              <w:rPr>
                <w:b/>
                <w:sz w:val="20"/>
                <w:szCs w:val="20"/>
              </w:rPr>
              <w:t xml:space="preserve"> I</w:t>
            </w:r>
            <w:r w:rsidRPr="00046CF7">
              <w:rPr>
                <w:sz w:val="20"/>
                <w:szCs w:val="20"/>
              </w:rPr>
              <w:t xml:space="preserve">, </w:t>
            </w:r>
            <w:proofErr w:type="spellStart"/>
            <w:r w:rsidRPr="00046CF7">
              <w:rPr>
                <w:sz w:val="20"/>
                <w:szCs w:val="20"/>
              </w:rPr>
              <w:t>Vasiljević</w:t>
            </w:r>
            <w:proofErr w:type="spellEnd"/>
            <w:r w:rsidRPr="00046CF7">
              <w:rPr>
                <w:sz w:val="20"/>
                <w:szCs w:val="20"/>
              </w:rPr>
              <w:t xml:space="preserve"> T, </w:t>
            </w:r>
            <w:proofErr w:type="spellStart"/>
            <w:r>
              <w:rPr>
                <w:sz w:val="20"/>
                <w:szCs w:val="20"/>
              </w:rPr>
              <w:t>Đ</w:t>
            </w:r>
            <w:r w:rsidRPr="00046CF7">
              <w:rPr>
                <w:sz w:val="20"/>
                <w:szCs w:val="20"/>
              </w:rPr>
              <w:t>urić</w:t>
            </w:r>
            <w:proofErr w:type="spellEnd"/>
            <w:r w:rsidRPr="00046CF7">
              <w:rPr>
                <w:sz w:val="20"/>
                <w:szCs w:val="20"/>
              </w:rPr>
              <w:t xml:space="preserve"> A, </w:t>
            </w:r>
            <w:proofErr w:type="spellStart"/>
            <w:r w:rsidRPr="00046CF7">
              <w:rPr>
                <w:sz w:val="20"/>
                <w:szCs w:val="20"/>
              </w:rPr>
              <w:t>Vidović</w:t>
            </w:r>
            <w:proofErr w:type="spellEnd"/>
            <w:r w:rsidRPr="00046CF7">
              <w:rPr>
                <w:sz w:val="20"/>
                <w:szCs w:val="20"/>
              </w:rPr>
              <w:t xml:space="preserve"> V, </w:t>
            </w:r>
            <w:r>
              <w:rPr>
                <w:sz w:val="20"/>
                <w:szCs w:val="20"/>
              </w:rPr>
              <w:t>et al</w:t>
            </w:r>
            <w:r w:rsidRPr="00046CF7">
              <w:rPr>
                <w:sz w:val="20"/>
                <w:szCs w:val="20"/>
              </w:rPr>
              <w:t xml:space="preserve">. Prognostic and Predictive Significance of Primary Tumor Localization and HER2 Expression in the Treatment of Patients with KRAS Wild-Type Metastatic Colorectal Cancer: Single-Centre Experience from Serbia. J </w:t>
            </w:r>
            <w:proofErr w:type="spellStart"/>
            <w:r w:rsidRPr="00046CF7">
              <w:rPr>
                <w:sz w:val="20"/>
                <w:szCs w:val="20"/>
              </w:rPr>
              <w:t>Pers</w:t>
            </w:r>
            <w:proofErr w:type="spellEnd"/>
            <w:r w:rsidRPr="00046CF7">
              <w:rPr>
                <w:sz w:val="20"/>
                <w:szCs w:val="20"/>
              </w:rPr>
              <w:t xml:space="preserve"> Med. 2024 Aug 20</w:t>
            </w:r>
            <w:proofErr w:type="gramStart"/>
            <w:r w:rsidRPr="00046CF7">
              <w:rPr>
                <w:sz w:val="20"/>
                <w:szCs w:val="20"/>
              </w:rPr>
              <w:t>;14</w:t>
            </w:r>
            <w:proofErr w:type="gramEnd"/>
            <w:r w:rsidRPr="00046CF7">
              <w:rPr>
                <w:sz w:val="20"/>
                <w:szCs w:val="20"/>
              </w:rPr>
              <w:t>(8):879.</w:t>
            </w:r>
          </w:p>
        </w:tc>
        <w:tc>
          <w:tcPr>
            <w:tcW w:w="346" w:type="pct"/>
            <w:vAlign w:val="center"/>
          </w:tcPr>
          <w:p w:rsidR="00FA083F" w:rsidRPr="000022A6" w:rsidRDefault="00FA083F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:rsidR="00FA083F" w:rsidRPr="000022A6" w:rsidRDefault="00046CF7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341" w:type="pct"/>
            <w:vAlign w:val="center"/>
          </w:tcPr>
          <w:p w:rsidR="00FA083F" w:rsidRPr="000022A6" w:rsidRDefault="00046CF7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330" w:type="pct"/>
            <w:vAlign w:val="center"/>
          </w:tcPr>
          <w:p w:rsidR="00FA083F" w:rsidRPr="000022A6" w:rsidRDefault="00FA083F" w:rsidP="0033391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37" w:type="pct"/>
            <w:gridSpan w:val="10"/>
            <w:vAlign w:val="center"/>
          </w:tcPr>
          <w:p w:rsidR="00FA083F" w:rsidRPr="000022A6" w:rsidRDefault="00046CF7" w:rsidP="004B2547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046CF7">
              <w:rPr>
                <w:sz w:val="20"/>
                <w:szCs w:val="20"/>
              </w:rPr>
              <w:t>Radić</w:t>
            </w:r>
            <w:proofErr w:type="spellEnd"/>
            <w:r w:rsidRPr="00046CF7">
              <w:rPr>
                <w:sz w:val="20"/>
                <w:szCs w:val="20"/>
              </w:rPr>
              <w:t xml:space="preserve"> J, </w:t>
            </w:r>
            <w:proofErr w:type="spellStart"/>
            <w:r w:rsidRPr="00046CF7">
              <w:rPr>
                <w:sz w:val="20"/>
                <w:szCs w:val="20"/>
              </w:rPr>
              <w:t>Kožik</w:t>
            </w:r>
            <w:proofErr w:type="spellEnd"/>
            <w:r w:rsidRPr="00046CF7">
              <w:rPr>
                <w:sz w:val="20"/>
                <w:szCs w:val="20"/>
              </w:rPr>
              <w:t xml:space="preserve"> B, </w:t>
            </w:r>
            <w:proofErr w:type="spellStart"/>
            <w:r w:rsidRPr="00046CF7">
              <w:rPr>
                <w:sz w:val="20"/>
                <w:szCs w:val="20"/>
              </w:rPr>
              <w:t>Nikolić</w:t>
            </w:r>
            <w:proofErr w:type="spellEnd"/>
            <w:r w:rsidRPr="00046CF7">
              <w:rPr>
                <w:sz w:val="20"/>
                <w:szCs w:val="20"/>
              </w:rPr>
              <w:t xml:space="preserve"> I, </w:t>
            </w:r>
            <w:proofErr w:type="spellStart"/>
            <w:r w:rsidRPr="00046CF7">
              <w:rPr>
                <w:b/>
                <w:sz w:val="20"/>
                <w:szCs w:val="20"/>
              </w:rPr>
              <w:t>Kolarov-Bjelobrk</w:t>
            </w:r>
            <w:proofErr w:type="spellEnd"/>
            <w:r w:rsidRPr="00046CF7">
              <w:rPr>
                <w:b/>
                <w:sz w:val="20"/>
                <w:szCs w:val="20"/>
              </w:rPr>
              <w:t xml:space="preserve"> I</w:t>
            </w:r>
            <w:r w:rsidRPr="00046CF7">
              <w:rPr>
                <w:sz w:val="20"/>
                <w:szCs w:val="20"/>
              </w:rPr>
              <w:t xml:space="preserve">, </w:t>
            </w:r>
            <w:proofErr w:type="spellStart"/>
            <w:r w:rsidRPr="00046CF7">
              <w:rPr>
                <w:sz w:val="20"/>
                <w:szCs w:val="20"/>
              </w:rPr>
              <w:t>Vasiljević</w:t>
            </w:r>
            <w:proofErr w:type="spellEnd"/>
            <w:r w:rsidRPr="00046CF7">
              <w:rPr>
                <w:sz w:val="20"/>
                <w:szCs w:val="20"/>
              </w:rPr>
              <w:t xml:space="preserve"> T, </w:t>
            </w:r>
            <w:proofErr w:type="spellStart"/>
            <w:r w:rsidRPr="00046CF7">
              <w:rPr>
                <w:sz w:val="20"/>
                <w:szCs w:val="20"/>
              </w:rPr>
              <w:t>Vranjković</w:t>
            </w:r>
            <w:proofErr w:type="spellEnd"/>
            <w:r w:rsidRPr="00046CF7">
              <w:rPr>
                <w:sz w:val="20"/>
                <w:szCs w:val="20"/>
              </w:rPr>
              <w:t xml:space="preserve"> B, </w:t>
            </w:r>
            <w:r w:rsidR="004B2547">
              <w:rPr>
                <w:sz w:val="20"/>
                <w:szCs w:val="20"/>
              </w:rPr>
              <w:t>et al</w:t>
            </w:r>
            <w:r w:rsidRPr="00046CF7">
              <w:rPr>
                <w:sz w:val="20"/>
                <w:szCs w:val="20"/>
              </w:rPr>
              <w:t xml:space="preserve">. Multiple Roles of LOXL2 in the Progression of </w:t>
            </w:r>
            <w:proofErr w:type="spellStart"/>
            <w:r w:rsidRPr="00046CF7">
              <w:rPr>
                <w:sz w:val="20"/>
                <w:szCs w:val="20"/>
              </w:rPr>
              <w:t>Hepatocellular</w:t>
            </w:r>
            <w:proofErr w:type="spellEnd"/>
            <w:r w:rsidRPr="00046CF7">
              <w:rPr>
                <w:sz w:val="20"/>
                <w:szCs w:val="20"/>
              </w:rPr>
              <w:t xml:space="preserve"> Carcinoma and Its Potential for Therapeutic Targeting. </w:t>
            </w:r>
            <w:proofErr w:type="spellStart"/>
            <w:r w:rsidRPr="00046CF7">
              <w:rPr>
                <w:sz w:val="20"/>
                <w:szCs w:val="20"/>
              </w:rPr>
              <w:t>Int</w:t>
            </w:r>
            <w:proofErr w:type="spellEnd"/>
            <w:r w:rsidRPr="00046CF7">
              <w:rPr>
                <w:sz w:val="20"/>
                <w:szCs w:val="20"/>
              </w:rPr>
              <w:t xml:space="preserve"> J Mol Sci. 2023 Jul 21</w:t>
            </w:r>
            <w:proofErr w:type="gramStart"/>
            <w:r w:rsidRPr="00046CF7">
              <w:rPr>
                <w:sz w:val="20"/>
                <w:szCs w:val="20"/>
              </w:rPr>
              <w:t>;24</w:t>
            </w:r>
            <w:proofErr w:type="gramEnd"/>
            <w:r w:rsidRPr="00046CF7">
              <w:rPr>
                <w:sz w:val="20"/>
                <w:szCs w:val="20"/>
              </w:rPr>
              <w:t>(14):11745.</w:t>
            </w:r>
          </w:p>
        </w:tc>
        <w:tc>
          <w:tcPr>
            <w:tcW w:w="346" w:type="pct"/>
            <w:vAlign w:val="center"/>
          </w:tcPr>
          <w:p w:rsidR="00FA083F" w:rsidRPr="000022A6" w:rsidRDefault="00FA083F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:rsidR="00FA083F" w:rsidRPr="000022A6" w:rsidRDefault="004B2547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1" w:type="pct"/>
            <w:vAlign w:val="center"/>
          </w:tcPr>
          <w:p w:rsidR="00FA083F" w:rsidRPr="000022A6" w:rsidRDefault="004B2547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330" w:type="pct"/>
            <w:vAlign w:val="center"/>
          </w:tcPr>
          <w:p w:rsidR="00FA083F" w:rsidRPr="000022A6" w:rsidRDefault="00FA083F" w:rsidP="0033391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37" w:type="pct"/>
            <w:gridSpan w:val="10"/>
            <w:vAlign w:val="center"/>
          </w:tcPr>
          <w:p w:rsidR="00FA083F" w:rsidRPr="004B2547" w:rsidRDefault="004B2547" w:rsidP="00046CF7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Bosanac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Amidžić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Stefanović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Radić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b/>
                <w:sz w:val="20"/>
                <w:szCs w:val="20"/>
              </w:rPr>
              <w:t>Kolarov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Bjelobrk</w:t>
            </w:r>
            <w:proofErr w:type="spellEnd"/>
            <w:r>
              <w:rPr>
                <w:b/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Janičić</w:t>
            </w:r>
            <w:proofErr w:type="spellEnd"/>
            <w:r>
              <w:rPr>
                <w:sz w:val="20"/>
                <w:szCs w:val="20"/>
              </w:rPr>
              <w:t xml:space="preserve"> S, et al.</w:t>
            </w:r>
            <w:r>
              <w:t xml:space="preserve"> </w:t>
            </w:r>
            <w:r w:rsidRPr="004B2547">
              <w:rPr>
                <w:sz w:val="20"/>
                <w:szCs w:val="20"/>
              </w:rPr>
              <w:t xml:space="preserve">Can Pumpkin Save us of Doxorubicin Induced </w:t>
            </w:r>
            <w:proofErr w:type="spellStart"/>
            <w:r w:rsidRPr="004B2547">
              <w:rPr>
                <w:sz w:val="20"/>
                <w:szCs w:val="20"/>
              </w:rPr>
              <w:t>Cardiotoxicity</w:t>
            </w:r>
            <w:proofErr w:type="spellEnd"/>
            <w:r w:rsidRPr="004B2547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</w:t>
            </w:r>
            <w:proofErr w:type="spellEnd"/>
            <w:r>
              <w:rPr>
                <w:sz w:val="20"/>
                <w:szCs w:val="20"/>
              </w:rPr>
              <w:t xml:space="preserve"> J </w:t>
            </w:r>
            <w:proofErr w:type="spellStart"/>
            <w:r>
              <w:rPr>
                <w:sz w:val="20"/>
                <w:szCs w:val="20"/>
              </w:rPr>
              <w:t>Morphol</w:t>
            </w:r>
            <w:proofErr w:type="spellEnd"/>
            <w:r>
              <w:rPr>
                <w:sz w:val="20"/>
                <w:szCs w:val="20"/>
              </w:rPr>
              <w:t>. 2023</w:t>
            </w:r>
            <w:proofErr w:type="gramStart"/>
            <w:r>
              <w:rPr>
                <w:sz w:val="20"/>
                <w:szCs w:val="20"/>
              </w:rPr>
              <w:t>;41</w:t>
            </w:r>
            <w:proofErr w:type="gramEnd"/>
            <w:r>
              <w:rPr>
                <w:sz w:val="20"/>
                <w:szCs w:val="20"/>
              </w:rPr>
              <w:t>(1):231-6.</w:t>
            </w:r>
          </w:p>
        </w:tc>
        <w:tc>
          <w:tcPr>
            <w:tcW w:w="346" w:type="pct"/>
            <w:vAlign w:val="center"/>
          </w:tcPr>
          <w:p w:rsidR="00FA083F" w:rsidRPr="000022A6" w:rsidRDefault="00FA083F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:rsidR="00FA083F" w:rsidRPr="000022A6" w:rsidRDefault="004B2547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1" w:type="pct"/>
            <w:vAlign w:val="center"/>
          </w:tcPr>
          <w:p w:rsidR="00FA083F" w:rsidRPr="000022A6" w:rsidRDefault="004B2547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4B2547">
              <w:rPr>
                <w:sz w:val="20"/>
                <w:szCs w:val="20"/>
              </w:rPr>
              <w:t>0.627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330" w:type="pct"/>
            <w:vAlign w:val="center"/>
          </w:tcPr>
          <w:p w:rsidR="00FA083F" w:rsidRPr="000022A6" w:rsidRDefault="00FA083F" w:rsidP="0033391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37" w:type="pct"/>
            <w:gridSpan w:val="10"/>
            <w:vAlign w:val="center"/>
          </w:tcPr>
          <w:p w:rsidR="00FA083F" w:rsidRPr="004B2547" w:rsidRDefault="004B2547" w:rsidP="00046CF7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Andrejić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Višnjić</w:t>
            </w:r>
            <w:proofErr w:type="spellEnd"/>
            <w:r>
              <w:rPr>
                <w:sz w:val="20"/>
                <w:szCs w:val="20"/>
              </w:rPr>
              <w:t xml:space="preserve"> B, </w:t>
            </w:r>
            <w:proofErr w:type="spellStart"/>
            <w:r>
              <w:rPr>
                <w:sz w:val="20"/>
                <w:szCs w:val="20"/>
              </w:rPr>
              <w:t>Samardžija</w:t>
            </w:r>
            <w:proofErr w:type="spellEnd"/>
            <w:r>
              <w:rPr>
                <w:sz w:val="20"/>
                <w:szCs w:val="20"/>
              </w:rPr>
              <w:t xml:space="preserve"> G, </w:t>
            </w:r>
            <w:proofErr w:type="spellStart"/>
            <w:r>
              <w:rPr>
                <w:sz w:val="20"/>
                <w:szCs w:val="20"/>
              </w:rPr>
              <w:t>Bosanac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Pantić</w:t>
            </w:r>
            <w:proofErr w:type="spellEnd"/>
            <w:r>
              <w:rPr>
                <w:sz w:val="20"/>
                <w:szCs w:val="20"/>
              </w:rPr>
              <w:t xml:space="preserve"> T, </w:t>
            </w:r>
            <w:proofErr w:type="spellStart"/>
            <w:r>
              <w:rPr>
                <w:b/>
                <w:sz w:val="20"/>
                <w:szCs w:val="20"/>
              </w:rPr>
              <w:t>Kolarov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Bjelobrk</w:t>
            </w:r>
            <w:proofErr w:type="spellEnd"/>
            <w:r>
              <w:rPr>
                <w:b/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Radić</w:t>
            </w:r>
            <w:proofErr w:type="spellEnd"/>
            <w:r>
              <w:rPr>
                <w:sz w:val="20"/>
                <w:szCs w:val="20"/>
              </w:rPr>
              <w:t xml:space="preserve"> J, et al. </w:t>
            </w:r>
            <w:r w:rsidRPr="004B2547">
              <w:rPr>
                <w:sz w:val="20"/>
                <w:szCs w:val="20"/>
              </w:rPr>
              <w:t xml:space="preserve">Are </w:t>
            </w:r>
            <w:proofErr w:type="spellStart"/>
            <w:r w:rsidRPr="004B2547">
              <w:rPr>
                <w:sz w:val="20"/>
                <w:szCs w:val="20"/>
              </w:rPr>
              <w:t>Statins</w:t>
            </w:r>
            <w:proofErr w:type="spellEnd"/>
            <w:r w:rsidRPr="004B2547">
              <w:rPr>
                <w:sz w:val="20"/>
                <w:szCs w:val="20"/>
              </w:rPr>
              <w:t xml:space="preserve"> a Risk Factor in Patients with Atherosclerosis?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</w:t>
            </w:r>
            <w:proofErr w:type="spellEnd"/>
            <w:r>
              <w:rPr>
                <w:sz w:val="20"/>
                <w:szCs w:val="20"/>
              </w:rPr>
              <w:t xml:space="preserve"> J </w:t>
            </w:r>
            <w:proofErr w:type="spellStart"/>
            <w:r>
              <w:rPr>
                <w:sz w:val="20"/>
                <w:szCs w:val="20"/>
              </w:rPr>
              <w:t>Morphol</w:t>
            </w:r>
            <w:proofErr w:type="spellEnd"/>
            <w:r>
              <w:rPr>
                <w:sz w:val="20"/>
                <w:szCs w:val="20"/>
              </w:rPr>
              <w:t>. 2022</w:t>
            </w:r>
            <w:proofErr w:type="gramStart"/>
            <w:r>
              <w:rPr>
                <w:sz w:val="20"/>
                <w:szCs w:val="20"/>
              </w:rPr>
              <w:t>;40</w:t>
            </w:r>
            <w:proofErr w:type="gramEnd"/>
            <w:r>
              <w:rPr>
                <w:sz w:val="20"/>
                <w:szCs w:val="20"/>
              </w:rPr>
              <w:t>(5):1236-41.</w:t>
            </w:r>
          </w:p>
        </w:tc>
        <w:tc>
          <w:tcPr>
            <w:tcW w:w="346" w:type="pct"/>
            <w:vAlign w:val="center"/>
          </w:tcPr>
          <w:p w:rsidR="00FA083F" w:rsidRPr="000022A6" w:rsidRDefault="00FA083F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:rsidR="00FA083F" w:rsidRPr="000022A6" w:rsidRDefault="004B2547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1" w:type="pct"/>
            <w:vAlign w:val="center"/>
          </w:tcPr>
          <w:p w:rsidR="00FA083F" w:rsidRPr="000022A6" w:rsidRDefault="004B2547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4B2547">
              <w:rPr>
                <w:sz w:val="20"/>
                <w:szCs w:val="20"/>
              </w:rPr>
              <w:t>0.644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330" w:type="pct"/>
            <w:vAlign w:val="center"/>
          </w:tcPr>
          <w:p w:rsidR="00FA083F" w:rsidRPr="000022A6" w:rsidRDefault="00FA083F" w:rsidP="0033391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37" w:type="pct"/>
            <w:gridSpan w:val="10"/>
            <w:vAlign w:val="center"/>
          </w:tcPr>
          <w:p w:rsidR="00FA083F" w:rsidRPr="000022A6" w:rsidRDefault="004B2547" w:rsidP="004B2547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4B2547">
              <w:rPr>
                <w:sz w:val="20"/>
                <w:szCs w:val="20"/>
              </w:rPr>
              <w:t>Nikolić</w:t>
            </w:r>
            <w:proofErr w:type="spellEnd"/>
            <w:r w:rsidRPr="004B2547">
              <w:rPr>
                <w:sz w:val="20"/>
                <w:szCs w:val="20"/>
              </w:rPr>
              <w:t xml:space="preserve"> I, </w:t>
            </w:r>
            <w:proofErr w:type="spellStart"/>
            <w:r w:rsidRPr="004B2547">
              <w:rPr>
                <w:sz w:val="20"/>
                <w:szCs w:val="20"/>
              </w:rPr>
              <w:t>Radić</w:t>
            </w:r>
            <w:proofErr w:type="spellEnd"/>
            <w:r w:rsidRPr="004B2547">
              <w:rPr>
                <w:sz w:val="20"/>
                <w:szCs w:val="20"/>
              </w:rPr>
              <w:t xml:space="preserve"> J, </w:t>
            </w:r>
            <w:proofErr w:type="spellStart"/>
            <w:r w:rsidRPr="004B2547">
              <w:rPr>
                <w:sz w:val="20"/>
                <w:szCs w:val="20"/>
              </w:rPr>
              <w:t>Petreš</w:t>
            </w:r>
            <w:proofErr w:type="spellEnd"/>
            <w:r w:rsidRPr="004B2547"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Đ</w:t>
            </w:r>
            <w:r w:rsidRPr="004B2547">
              <w:rPr>
                <w:sz w:val="20"/>
                <w:szCs w:val="20"/>
              </w:rPr>
              <w:t>urić</w:t>
            </w:r>
            <w:proofErr w:type="spellEnd"/>
            <w:r w:rsidRPr="004B2547">
              <w:rPr>
                <w:sz w:val="20"/>
                <w:szCs w:val="20"/>
              </w:rPr>
              <w:t xml:space="preserve"> A, </w:t>
            </w:r>
            <w:proofErr w:type="spellStart"/>
            <w:r w:rsidRPr="004B2547">
              <w:rPr>
                <w:sz w:val="20"/>
                <w:szCs w:val="20"/>
              </w:rPr>
              <w:t>Protić</w:t>
            </w:r>
            <w:proofErr w:type="spellEnd"/>
            <w:r w:rsidRPr="004B2547">
              <w:rPr>
                <w:sz w:val="20"/>
                <w:szCs w:val="20"/>
              </w:rPr>
              <w:t xml:space="preserve"> M, </w:t>
            </w:r>
            <w:r>
              <w:rPr>
                <w:sz w:val="20"/>
                <w:szCs w:val="20"/>
              </w:rPr>
              <w:t>et al…</w:t>
            </w:r>
            <w:proofErr w:type="spellStart"/>
            <w:r w:rsidRPr="004B2547">
              <w:rPr>
                <w:b/>
                <w:sz w:val="20"/>
                <w:szCs w:val="20"/>
              </w:rPr>
              <w:t>Kolarov-Bjelobrk</w:t>
            </w:r>
            <w:proofErr w:type="spellEnd"/>
            <w:r w:rsidRPr="004B2547">
              <w:rPr>
                <w:b/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..</w:t>
            </w:r>
            <w:r w:rsidRPr="004B2547">
              <w:rPr>
                <w:sz w:val="20"/>
                <w:szCs w:val="20"/>
              </w:rPr>
              <w:t xml:space="preserve">. The Clinical Benefit of </w:t>
            </w:r>
            <w:proofErr w:type="spellStart"/>
            <w:r w:rsidRPr="004B2547">
              <w:rPr>
                <w:sz w:val="20"/>
                <w:szCs w:val="20"/>
              </w:rPr>
              <w:t>Percutaneous</w:t>
            </w:r>
            <w:proofErr w:type="spellEnd"/>
            <w:r w:rsidRPr="004B2547">
              <w:rPr>
                <w:sz w:val="20"/>
                <w:szCs w:val="20"/>
              </w:rPr>
              <w:t xml:space="preserve"> </w:t>
            </w:r>
            <w:proofErr w:type="spellStart"/>
            <w:r w:rsidRPr="004B2547">
              <w:rPr>
                <w:sz w:val="20"/>
                <w:szCs w:val="20"/>
              </w:rPr>
              <w:t>Transhepatic</w:t>
            </w:r>
            <w:proofErr w:type="spellEnd"/>
            <w:r w:rsidRPr="004B2547">
              <w:rPr>
                <w:sz w:val="20"/>
                <w:szCs w:val="20"/>
              </w:rPr>
              <w:t xml:space="preserve"> </w:t>
            </w:r>
            <w:proofErr w:type="spellStart"/>
            <w:r w:rsidRPr="004B2547">
              <w:rPr>
                <w:sz w:val="20"/>
                <w:szCs w:val="20"/>
              </w:rPr>
              <w:t>Biliary</w:t>
            </w:r>
            <w:proofErr w:type="spellEnd"/>
            <w:r w:rsidRPr="004B2547">
              <w:rPr>
                <w:sz w:val="20"/>
                <w:szCs w:val="20"/>
              </w:rPr>
              <w:t xml:space="preserve"> Drainage for Malignant </w:t>
            </w:r>
            <w:proofErr w:type="spellStart"/>
            <w:r w:rsidRPr="004B2547">
              <w:rPr>
                <w:sz w:val="20"/>
                <w:szCs w:val="20"/>
              </w:rPr>
              <w:t>Biliary</w:t>
            </w:r>
            <w:proofErr w:type="spellEnd"/>
            <w:r w:rsidRPr="004B2547">
              <w:rPr>
                <w:sz w:val="20"/>
                <w:szCs w:val="20"/>
              </w:rPr>
              <w:t xml:space="preserve"> Tract Obstruction. Cancers (Basel). 2022 Sep 26</w:t>
            </w:r>
            <w:proofErr w:type="gramStart"/>
            <w:r w:rsidRPr="004B2547">
              <w:rPr>
                <w:sz w:val="20"/>
                <w:szCs w:val="20"/>
              </w:rPr>
              <w:t>;14</w:t>
            </w:r>
            <w:proofErr w:type="gramEnd"/>
            <w:r w:rsidRPr="004B2547">
              <w:rPr>
                <w:sz w:val="20"/>
                <w:szCs w:val="20"/>
              </w:rPr>
              <w:t>(19):4673.</w:t>
            </w:r>
          </w:p>
        </w:tc>
        <w:tc>
          <w:tcPr>
            <w:tcW w:w="346" w:type="pct"/>
            <w:vAlign w:val="center"/>
          </w:tcPr>
          <w:p w:rsidR="00FA083F" w:rsidRPr="000022A6" w:rsidRDefault="00FA083F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:rsidR="00FA083F" w:rsidRPr="000022A6" w:rsidRDefault="004B2547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1" w:type="pct"/>
            <w:vAlign w:val="center"/>
          </w:tcPr>
          <w:p w:rsidR="00FA083F" w:rsidRPr="000022A6" w:rsidRDefault="004B2547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4B2547">
              <w:rPr>
                <w:sz w:val="20"/>
                <w:szCs w:val="20"/>
              </w:rPr>
              <w:t>6.999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330" w:type="pct"/>
            <w:vAlign w:val="center"/>
          </w:tcPr>
          <w:p w:rsidR="00FA083F" w:rsidRPr="000022A6" w:rsidRDefault="00FA083F" w:rsidP="0033391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37" w:type="pct"/>
            <w:gridSpan w:val="10"/>
            <w:vAlign w:val="center"/>
          </w:tcPr>
          <w:p w:rsidR="00FA083F" w:rsidRPr="000022A6" w:rsidRDefault="004B2547" w:rsidP="004B2547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4B2547">
              <w:rPr>
                <w:b/>
                <w:sz w:val="20"/>
                <w:szCs w:val="20"/>
              </w:rPr>
              <w:t>Kolarov</w:t>
            </w:r>
            <w:proofErr w:type="spellEnd"/>
            <w:r w:rsidRPr="004B254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2547">
              <w:rPr>
                <w:b/>
                <w:sz w:val="20"/>
                <w:szCs w:val="20"/>
              </w:rPr>
              <w:t>Bjelobrk</w:t>
            </w:r>
            <w:proofErr w:type="spellEnd"/>
            <w:r w:rsidRPr="004B2547">
              <w:rPr>
                <w:b/>
                <w:sz w:val="20"/>
                <w:szCs w:val="20"/>
              </w:rPr>
              <w:t xml:space="preserve"> I</w:t>
            </w:r>
            <w:r w:rsidRPr="004B2547">
              <w:rPr>
                <w:sz w:val="20"/>
                <w:szCs w:val="20"/>
              </w:rPr>
              <w:t xml:space="preserve">, </w:t>
            </w:r>
            <w:proofErr w:type="spellStart"/>
            <w:r w:rsidRPr="004B2547">
              <w:rPr>
                <w:sz w:val="20"/>
                <w:szCs w:val="20"/>
              </w:rPr>
              <w:t>Radi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4B2547">
              <w:rPr>
                <w:sz w:val="20"/>
                <w:szCs w:val="20"/>
              </w:rPr>
              <w:t xml:space="preserve"> J, </w:t>
            </w:r>
            <w:proofErr w:type="spellStart"/>
            <w:r w:rsidRPr="004B2547">
              <w:rPr>
                <w:sz w:val="20"/>
                <w:szCs w:val="20"/>
              </w:rPr>
              <w:t>Trifunovi</w:t>
            </w:r>
            <w:r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B2547">
              <w:rPr>
                <w:sz w:val="20"/>
                <w:szCs w:val="20"/>
              </w:rPr>
              <w:t xml:space="preserve">J, </w:t>
            </w:r>
            <w:proofErr w:type="spellStart"/>
            <w:r w:rsidRPr="004B2547">
              <w:rPr>
                <w:sz w:val="20"/>
                <w:szCs w:val="20"/>
              </w:rPr>
              <w:t>Pe</w:t>
            </w:r>
            <w:r>
              <w:rPr>
                <w:sz w:val="20"/>
                <w:szCs w:val="20"/>
              </w:rPr>
              <w:t>š</w:t>
            </w:r>
            <w:r w:rsidRPr="004B254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4B2547">
              <w:rPr>
                <w:sz w:val="20"/>
                <w:szCs w:val="20"/>
              </w:rPr>
              <w:t xml:space="preserve"> J, </w:t>
            </w:r>
            <w:proofErr w:type="spellStart"/>
            <w:r w:rsidRPr="004B2547">
              <w:rPr>
                <w:sz w:val="20"/>
                <w:szCs w:val="20"/>
              </w:rPr>
              <w:t>Vidovi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4B2547">
              <w:rPr>
                <w:sz w:val="20"/>
                <w:szCs w:val="20"/>
              </w:rPr>
              <w:t xml:space="preserve"> V, </w:t>
            </w:r>
            <w:proofErr w:type="spellStart"/>
            <w:r w:rsidRPr="004B2547">
              <w:rPr>
                <w:sz w:val="20"/>
                <w:szCs w:val="20"/>
              </w:rPr>
              <w:t>Vranjkovi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4B2547">
              <w:rPr>
                <w:sz w:val="20"/>
                <w:szCs w:val="20"/>
              </w:rPr>
              <w:t xml:space="preserve"> B, </w:t>
            </w:r>
            <w:r>
              <w:rPr>
                <w:sz w:val="20"/>
                <w:szCs w:val="20"/>
              </w:rPr>
              <w:t>et al</w:t>
            </w:r>
            <w:r w:rsidRPr="004B2547">
              <w:rPr>
                <w:sz w:val="20"/>
                <w:szCs w:val="20"/>
              </w:rPr>
              <w:t xml:space="preserve">. The efficacy of </w:t>
            </w:r>
            <w:proofErr w:type="spellStart"/>
            <w:r w:rsidRPr="004B2547">
              <w:rPr>
                <w:sz w:val="20"/>
                <w:szCs w:val="20"/>
              </w:rPr>
              <w:t>lapatinib</w:t>
            </w:r>
            <w:proofErr w:type="spellEnd"/>
            <w:r w:rsidRPr="004B2547">
              <w:rPr>
                <w:sz w:val="20"/>
                <w:szCs w:val="20"/>
              </w:rPr>
              <w:t xml:space="preserve"> in patients with metastatic HER2 positive breast cancer who received prior therapy with monoclonal antibodies and antibody-drug conjugate: a single institutional experience. J </w:t>
            </w:r>
            <w:proofErr w:type="spellStart"/>
            <w:r w:rsidRPr="004B2547">
              <w:rPr>
                <w:sz w:val="20"/>
                <w:szCs w:val="20"/>
              </w:rPr>
              <w:t>Chemother</w:t>
            </w:r>
            <w:proofErr w:type="spellEnd"/>
            <w:r w:rsidRPr="004B2547">
              <w:rPr>
                <w:sz w:val="20"/>
                <w:szCs w:val="20"/>
              </w:rPr>
              <w:t>. 2022 Jul</w:t>
            </w:r>
            <w:proofErr w:type="gramStart"/>
            <w:r w:rsidRPr="004B2547">
              <w:rPr>
                <w:sz w:val="20"/>
                <w:szCs w:val="20"/>
              </w:rPr>
              <w:t>;34</w:t>
            </w:r>
            <w:proofErr w:type="gramEnd"/>
            <w:r w:rsidRPr="004B2547">
              <w:rPr>
                <w:sz w:val="20"/>
                <w:szCs w:val="20"/>
              </w:rPr>
              <w:t>(4</w:t>
            </w:r>
            <w:r>
              <w:rPr>
                <w:sz w:val="20"/>
                <w:szCs w:val="20"/>
              </w:rPr>
              <w:t>):264-</w:t>
            </w:r>
            <w:r w:rsidRPr="004B2547">
              <w:rPr>
                <w:sz w:val="20"/>
                <w:szCs w:val="20"/>
              </w:rPr>
              <w:t>71.</w:t>
            </w:r>
          </w:p>
        </w:tc>
        <w:tc>
          <w:tcPr>
            <w:tcW w:w="346" w:type="pct"/>
            <w:vAlign w:val="center"/>
          </w:tcPr>
          <w:p w:rsidR="00FA083F" w:rsidRPr="000022A6" w:rsidRDefault="00FA083F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:rsidR="00FA083F" w:rsidRPr="000022A6" w:rsidRDefault="004B2547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1" w:type="pct"/>
            <w:vAlign w:val="center"/>
          </w:tcPr>
          <w:p w:rsidR="00FA083F" w:rsidRPr="000022A6" w:rsidRDefault="004B2547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4B2547">
              <w:rPr>
                <w:sz w:val="20"/>
                <w:szCs w:val="20"/>
              </w:rPr>
              <w:t>2.385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330" w:type="pct"/>
            <w:vAlign w:val="center"/>
          </w:tcPr>
          <w:p w:rsidR="00FA083F" w:rsidRPr="000022A6" w:rsidRDefault="00FA083F" w:rsidP="0033391D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37" w:type="pct"/>
            <w:gridSpan w:val="10"/>
            <w:vAlign w:val="center"/>
          </w:tcPr>
          <w:p w:rsidR="00FA083F" w:rsidRPr="000022A6" w:rsidRDefault="004B2547" w:rsidP="0033391D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4B2547">
              <w:rPr>
                <w:sz w:val="20"/>
                <w:szCs w:val="20"/>
              </w:rPr>
              <w:t>Cvetanovi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4B2547">
              <w:rPr>
                <w:sz w:val="20"/>
                <w:szCs w:val="20"/>
              </w:rPr>
              <w:t xml:space="preserve"> A, </w:t>
            </w:r>
            <w:proofErr w:type="spellStart"/>
            <w:r w:rsidRPr="004B2547">
              <w:rPr>
                <w:sz w:val="20"/>
                <w:szCs w:val="20"/>
              </w:rPr>
              <w:t>Popovi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4B2547">
              <w:rPr>
                <w:sz w:val="20"/>
                <w:szCs w:val="20"/>
              </w:rPr>
              <w:t xml:space="preserve"> L, </w:t>
            </w:r>
            <w:proofErr w:type="spellStart"/>
            <w:r w:rsidRPr="004B2547">
              <w:rPr>
                <w:sz w:val="20"/>
                <w:szCs w:val="20"/>
              </w:rPr>
              <w:t>Filipovi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4B2547">
              <w:rPr>
                <w:sz w:val="20"/>
                <w:szCs w:val="20"/>
              </w:rPr>
              <w:t xml:space="preserve"> S, </w:t>
            </w:r>
            <w:proofErr w:type="spellStart"/>
            <w:r w:rsidRPr="004B2547">
              <w:rPr>
                <w:sz w:val="20"/>
                <w:szCs w:val="20"/>
              </w:rPr>
              <w:t>Trifunovi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4B2547"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Ž</w:t>
            </w:r>
            <w:r w:rsidRPr="004B2547">
              <w:rPr>
                <w:sz w:val="20"/>
                <w:szCs w:val="20"/>
              </w:rPr>
              <w:t>ivkovi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4B2547">
              <w:rPr>
                <w:sz w:val="20"/>
                <w:szCs w:val="20"/>
              </w:rPr>
              <w:t xml:space="preserve"> N, </w:t>
            </w:r>
            <w:r w:rsidR="0033391D">
              <w:rPr>
                <w:sz w:val="20"/>
                <w:szCs w:val="20"/>
              </w:rPr>
              <w:t>et al…</w:t>
            </w:r>
            <w:proofErr w:type="spellStart"/>
            <w:r w:rsidRPr="0033391D">
              <w:rPr>
                <w:b/>
                <w:sz w:val="20"/>
                <w:szCs w:val="20"/>
              </w:rPr>
              <w:t>Kolarov</w:t>
            </w:r>
            <w:proofErr w:type="spellEnd"/>
            <w:r w:rsidRPr="0033391D">
              <w:rPr>
                <w:b/>
                <w:sz w:val="20"/>
                <w:szCs w:val="20"/>
              </w:rPr>
              <w:t>-</w:t>
            </w:r>
            <w:proofErr w:type="spellStart"/>
            <w:r w:rsidRPr="0033391D">
              <w:rPr>
                <w:b/>
                <w:sz w:val="20"/>
                <w:szCs w:val="20"/>
              </w:rPr>
              <w:t>Bjelobrk</w:t>
            </w:r>
            <w:proofErr w:type="spellEnd"/>
            <w:r w:rsidRPr="0033391D">
              <w:rPr>
                <w:b/>
                <w:sz w:val="20"/>
                <w:szCs w:val="20"/>
              </w:rPr>
              <w:t xml:space="preserve"> I</w:t>
            </w:r>
            <w:r w:rsidRPr="004B2547">
              <w:rPr>
                <w:sz w:val="20"/>
                <w:szCs w:val="20"/>
              </w:rPr>
              <w:t>. Young age and pathological features predict breast cancer outcome - report from a dual Institution experience in Serbia. J BUON. 2015 Nov-Dec</w:t>
            </w:r>
            <w:proofErr w:type="gramStart"/>
            <w:r w:rsidRPr="004B2547">
              <w:rPr>
                <w:sz w:val="20"/>
                <w:szCs w:val="20"/>
              </w:rPr>
              <w:t>;20</w:t>
            </w:r>
            <w:proofErr w:type="gramEnd"/>
            <w:r w:rsidRPr="004B2547">
              <w:rPr>
                <w:sz w:val="20"/>
                <w:szCs w:val="20"/>
              </w:rPr>
              <w:t>(6):1407-13.</w:t>
            </w:r>
          </w:p>
        </w:tc>
        <w:tc>
          <w:tcPr>
            <w:tcW w:w="346" w:type="pct"/>
            <w:vAlign w:val="center"/>
          </w:tcPr>
          <w:p w:rsidR="00FA083F" w:rsidRPr="000022A6" w:rsidRDefault="00FA083F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:rsidR="00FA083F" w:rsidRPr="000022A6" w:rsidRDefault="0033391D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1" w:type="pct"/>
            <w:vAlign w:val="center"/>
          </w:tcPr>
          <w:p w:rsidR="00FA083F" w:rsidRPr="000022A6" w:rsidRDefault="0033391D" w:rsidP="00046C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33391D">
              <w:rPr>
                <w:sz w:val="20"/>
                <w:szCs w:val="20"/>
              </w:rPr>
              <w:t>0.880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2956" w:type="pct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044" w:type="pct"/>
            <w:gridSpan w:val="7"/>
            <w:vAlign w:val="center"/>
          </w:tcPr>
          <w:p w:rsidR="00FA083F" w:rsidRPr="0033391D" w:rsidRDefault="0033391D" w:rsidP="008E1BFA">
            <w:pPr>
              <w:spacing w:after="60"/>
              <w:rPr>
                <w:lang/>
              </w:rPr>
            </w:pPr>
            <w:r w:rsidRPr="0033391D">
              <w:rPr>
                <w:lang/>
              </w:rPr>
              <w:t>62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2956" w:type="pct"/>
            <w:gridSpan w:val="7"/>
            <w:vAlign w:val="center"/>
          </w:tcPr>
          <w:p w:rsidR="00FA083F" w:rsidRPr="0033391D" w:rsidRDefault="00FA083F" w:rsidP="008E1BFA">
            <w:pPr>
              <w:spacing w:after="60"/>
              <w:rPr>
                <w:lang w:val="sr-Cyrl-CS"/>
              </w:rPr>
            </w:pPr>
            <w:r w:rsidRPr="0033391D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044" w:type="pct"/>
            <w:gridSpan w:val="7"/>
            <w:vAlign w:val="center"/>
          </w:tcPr>
          <w:p w:rsidR="00FA083F" w:rsidRPr="0033391D" w:rsidRDefault="0033391D" w:rsidP="008E1BFA">
            <w:pPr>
              <w:spacing w:after="60"/>
              <w:rPr>
                <w:lang/>
              </w:rPr>
            </w:pPr>
            <w:r w:rsidRPr="0033391D">
              <w:rPr>
                <w:lang/>
              </w:rPr>
              <w:t>11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2956" w:type="pct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40" w:type="pct"/>
            <w:gridSpan w:val="2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405" w:type="pct"/>
            <w:gridSpan w:val="5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2956" w:type="pct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40" w:type="pct"/>
            <w:gridSpan w:val="2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405" w:type="pct"/>
            <w:gridSpan w:val="5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</w:tr>
      <w:tr w:rsidR="00FA083F" w:rsidRPr="00A22864" w:rsidTr="0033391D">
        <w:trPr>
          <w:trHeight w:val="227"/>
          <w:jc w:val="center"/>
        </w:trPr>
        <w:tc>
          <w:tcPr>
            <w:tcW w:w="2956" w:type="pct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044" w:type="pct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</w:tr>
    </w:tbl>
    <w:p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F24A8"/>
    <w:multiLevelType w:val="hybridMultilevel"/>
    <w:tmpl w:val="1A3E3FCE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94424"/>
    <w:rsid w:val="00046CF7"/>
    <w:rsid w:val="0033391D"/>
    <w:rsid w:val="00494424"/>
    <w:rsid w:val="004B2547"/>
    <w:rsid w:val="00505EBB"/>
    <w:rsid w:val="00617576"/>
    <w:rsid w:val="00975A90"/>
    <w:rsid w:val="00AB00FC"/>
    <w:rsid w:val="00EA25FB"/>
    <w:rsid w:val="00FA083F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046C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6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bson.nb.rs/nauka_u_srbiji.132.html?autor=Kolarov-Bjelobrk%20Ivana%20N&amp;samoar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aleksandra.biberdzic</cp:lastModifiedBy>
  <cp:revision>2</cp:revision>
  <dcterms:created xsi:type="dcterms:W3CDTF">2025-11-12T11:25:00Z</dcterms:created>
  <dcterms:modified xsi:type="dcterms:W3CDTF">2025-11-12T11:25:00Z</dcterms:modified>
</cp:coreProperties>
</file>