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80B3" w14:textId="77777777" w:rsidR="00494424" w:rsidRPr="009C1331" w:rsidRDefault="00494424" w:rsidP="00494424">
      <w:pPr>
        <w:spacing w:after="60"/>
        <w:jc w:val="center"/>
        <w:rPr>
          <w:iCs/>
          <w:sz w:val="22"/>
          <w:szCs w:val="22"/>
        </w:rPr>
      </w:pPr>
      <w:r w:rsidRPr="009C1331">
        <w:rPr>
          <w:b/>
          <w:iCs/>
          <w:sz w:val="22"/>
          <w:szCs w:val="22"/>
        </w:rPr>
        <w:t>Табела. 9.8</w:t>
      </w:r>
      <w:r w:rsidRPr="009C1331">
        <w:rPr>
          <w:iCs/>
          <w:sz w:val="22"/>
          <w:szCs w:val="22"/>
        </w:rPr>
        <w:t xml:space="preserve"> 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625"/>
        <w:gridCol w:w="981"/>
        <w:gridCol w:w="8"/>
        <w:gridCol w:w="1488"/>
        <w:gridCol w:w="760"/>
        <w:gridCol w:w="320"/>
        <w:gridCol w:w="290"/>
        <w:gridCol w:w="1048"/>
        <w:gridCol w:w="270"/>
        <w:gridCol w:w="525"/>
        <w:gridCol w:w="723"/>
        <w:gridCol w:w="723"/>
        <w:gridCol w:w="687"/>
      </w:tblGrid>
      <w:tr w:rsidR="00494424" w:rsidRPr="009C1331" w14:paraId="6FE8C7C7" w14:textId="77777777" w:rsidTr="002E6345">
        <w:trPr>
          <w:trHeight w:val="227"/>
          <w:jc w:val="center"/>
        </w:trPr>
        <w:tc>
          <w:tcPr>
            <w:tcW w:w="1624" w:type="pct"/>
            <w:gridSpan w:val="3"/>
            <w:vAlign w:val="center"/>
          </w:tcPr>
          <w:p w14:paraId="307B5DCC" w14:textId="77777777" w:rsidR="00494424" w:rsidRPr="009C1331" w:rsidRDefault="00494424" w:rsidP="008E1BFA">
            <w:pPr>
              <w:spacing w:after="60"/>
            </w:pPr>
            <w:r w:rsidRPr="009C1331">
              <w:rPr>
                <w:b/>
              </w:rPr>
              <w:t>Име и презиме</w:t>
            </w:r>
          </w:p>
        </w:tc>
        <w:tc>
          <w:tcPr>
            <w:tcW w:w="3376" w:type="pct"/>
            <w:gridSpan w:val="11"/>
            <w:vAlign w:val="center"/>
          </w:tcPr>
          <w:p w14:paraId="07CA1DE0" w14:textId="0C04D242" w:rsidR="00494424" w:rsidRPr="009C1331" w:rsidRDefault="00284313" w:rsidP="008E1BFA">
            <w:pPr>
              <w:spacing w:after="60"/>
            </w:pPr>
            <w:r w:rsidRPr="009C1331">
              <w:t>Мирко Обрадовић</w:t>
            </w:r>
          </w:p>
        </w:tc>
      </w:tr>
      <w:tr w:rsidR="00494424" w:rsidRPr="009C1331" w14:paraId="3E17104E" w14:textId="77777777" w:rsidTr="002E6345">
        <w:trPr>
          <w:trHeight w:val="227"/>
          <w:jc w:val="center"/>
        </w:trPr>
        <w:tc>
          <w:tcPr>
            <w:tcW w:w="1624" w:type="pct"/>
            <w:gridSpan w:val="3"/>
            <w:vAlign w:val="center"/>
          </w:tcPr>
          <w:p w14:paraId="50452058" w14:textId="77777777" w:rsidR="00494424" w:rsidRPr="009C1331" w:rsidRDefault="00494424" w:rsidP="008E1BFA">
            <w:pPr>
              <w:spacing w:after="60"/>
            </w:pPr>
            <w:r w:rsidRPr="009C1331">
              <w:rPr>
                <w:b/>
              </w:rPr>
              <w:t>Звање</w:t>
            </w:r>
          </w:p>
        </w:tc>
        <w:tc>
          <w:tcPr>
            <w:tcW w:w="3376" w:type="pct"/>
            <w:gridSpan w:val="11"/>
            <w:vAlign w:val="center"/>
          </w:tcPr>
          <w:p w14:paraId="06F69DF9" w14:textId="527F3879" w:rsidR="00494424" w:rsidRPr="009C1331" w:rsidRDefault="00284313" w:rsidP="008E1BFA">
            <w:pPr>
              <w:spacing w:after="60"/>
            </w:pPr>
            <w:r w:rsidRPr="009C1331">
              <w:t>Доцент</w:t>
            </w:r>
          </w:p>
        </w:tc>
      </w:tr>
      <w:tr w:rsidR="00494424" w:rsidRPr="009C1331" w14:paraId="00224D66" w14:textId="77777777" w:rsidTr="002E6345">
        <w:trPr>
          <w:trHeight w:val="227"/>
          <w:jc w:val="center"/>
        </w:trPr>
        <w:tc>
          <w:tcPr>
            <w:tcW w:w="1624" w:type="pct"/>
            <w:gridSpan w:val="3"/>
            <w:vAlign w:val="center"/>
          </w:tcPr>
          <w:p w14:paraId="15D958AE" w14:textId="77777777" w:rsidR="00494424" w:rsidRPr="009C1331" w:rsidRDefault="00494424" w:rsidP="008E1BFA">
            <w:pPr>
              <w:spacing w:after="60"/>
            </w:pPr>
            <w:r w:rsidRPr="009C1331">
              <w:rPr>
                <w:b/>
              </w:rPr>
              <w:t>Ужа научна, уметничка односно стручна  област</w:t>
            </w:r>
          </w:p>
        </w:tc>
        <w:tc>
          <w:tcPr>
            <w:tcW w:w="3376" w:type="pct"/>
            <w:gridSpan w:val="11"/>
            <w:vAlign w:val="center"/>
          </w:tcPr>
          <w:p w14:paraId="4E2BC49B" w14:textId="70B33D90" w:rsidR="00494424" w:rsidRPr="009C1331" w:rsidRDefault="00284313" w:rsidP="008E1BFA">
            <w:pPr>
              <w:spacing w:after="60"/>
            </w:pPr>
            <w:r w:rsidRPr="009C1331">
              <w:t>Хирургија (ортопедија са трауматологијом)</w:t>
            </w:r>
          </w:p>
        </w:tc>
      </w:tr>
      <w:tr w:rsidR="00975A90" w:rsidRPr="009C1331" w14:paraId="5AB41E62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3EFFE26D" w14:textId="77777777" w:rsidR="00494424" w:rsidRPr="009C1331" w:rsidRDefault="00494424" w:rsidP="008E1BFA">
            <w:pPr>
              <w:spacing w:after="60"/>
            </w:pPr>
            <w:r w:rsidRPr="009C1331">
              <w:rPr>
                <w:b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14:paraId="799E350E" w14:textId="77777777" w:rsidR="00494424" w:rsidRPr="009C1331" w:rsidRDefault="00494424" w:rsidP="00975A90">
            <w:pPr>
              <w:spacing w:after="60"/>
              <w:jc w:val="center"/>
              <w:rPr>
                <w:b/>
              </w:rPr>
            </w:pPr>
            <w:r w:rsidRPr="009C1331">
              <w:rPr>
                <w:b/>
              </w:rPr>
              <w:t>Година</w:t>
            </w:r>
          </w:p>
        </w:tc>
        <w:tc>
          <w:tcPr>
            <w:tcW w:w="1109" w:type="pct"/>
            <w:gridSpan w:val="2"/>
            <w:vAlign w:val="center"/>
          </w:tcPr>
          <w:p w14:paraId="456650EC" w14:textId="77777777" w:rsidR="00494424" w:rsidRPr="009C1331" w:rsidRDefault="00494424" w:rsidP="00975A90">
            <w:pPr>
              <w:spacing w:after="60"/>
              <w:jc w:val="center"/>
              <w:rPr>
                <w:b/>
              </w:rPr>
            </w:pPr>
            <w:r w:rsidRPr="009C1331">
              <w:rPr>
                <w:b/>
              </w:rPr>
              <w:t>Институција</w:t>
            </w:r>
          </w:p>
        </w:tc>
        <w:tc>
          <w:tcPr>
            <w:tcW w:w="2263" w:type="pct"/>
            <w:gridSpan w:val="8"/>
            <w:vAlign w:val="center"/>
          </w:tcPr>
          <w:p w14:paraId="013B4AE0" w14:textId="77777777" w:rsidR="00494424" w:rsidRPr="009C1331" w:rsidRDefault="00494424" w:rsidP="00975A90">
            <w:pPr>
              <w:spacing w:after="60"/>
              <w:jc w:val="center"/>
              <w:rPr>
                <w:b/>
              </w:rPr>
            </w:pPr>
            <w:r w:rsidRPr="009C1331">
              <w:rPr>
                <w:b/>
              </w:rPr>
              <w:t>Ужа научна, уметничка односно стручна област</w:t>
            </w:r>
          </w:p>
        </w:tc>
      </w:tr>
      <w:tr w:rsidR="00975A90" w:rsidRPr="009C1331" w14:paraId="68506B6B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4AFE797B" w14:textId="77777777" w:rsidR="00494424" w:rsidRPr="009C1331" w:rsidRDefault="00494424" w:rsidP="008E1BFA">
            <w:pPr>
              <w:spacing w:after="60"/>
            </w:pPr>
            <w:r w:rsidRPr="009C1331"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14:paraId="1F874DDC" w14:textId="2FDE79C3" w:rsidR="00494424" w:rsidRPr="009C1331" w:rsidRDefault="00284313" w:rsidP="008E1BFA">
            <w:pPr>
              <w:spacing w:after="60"/>
            </w:pPr>
            <w:r w:rsidRPr="009C1331">
              <w:t>2026.</w:t>
            </w:r>
          </w:p>
        </w:tc>
        <w:tc>
          <w:tcPr>
            <w:tcW w:w="1109" w:type="pct"/>
            <w:gridSpan w:val="2"/>
            <w:vAlign w:val="center"/>
          </w:tcPr>
          <w:p w14:paraId="24C2B329" w14:textId="6DF08FB3" w:rsidR="00494424" w:rsidRPr="009C1331" w:rsidRDefault="00284313" w:rsidP="008E1BFA">
            <w:pPr>
              <w:spacing w:after="60"/>
            </w:pPr>
            <w:r w:rsidRPr="009C1331">
              <w:t>Медицински факултет у Новом Саду</w:t>
            </w:r>
          </w:p>
        </w:tc>
        <w:tc>
          <w:tcPr>
            <w:tcW w:w="2263" w:type="pct"/>
            <w:gridSpan w:val="8"/>
            <w:vAlign w:val="center"/>
          </w:tcPr>
          <w:p w14:paraId="5C5FF53F" w14:textId="10F029E5" w:rsidR="00494424" w:rsidRPr="009C1331" w:rsidRDefault="00284313" w:rsidP="008E1BFA">
            <w:pPr>
              <w:spacing w:after="60"/>
            </w:pPr>
            <w:r w:rsidRPr="009C1331">
              <w:t>Хирургија (ортопедија са трауматологијом)</w:t>
            </w:r>
          </w:p>
        </w:tc>
      </w:tr>
      <w:tr w:rsidR="00284313" w:rsidRPr="009C1331" w14:paraId="3AB335A0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7035D989" w14:textId="77777777" w:rsidR="00284313" w:rsidRPr="009C1331" w:rsidRDefault="00284313" w:rsidP="00284313">
            <w:pPr>
              <w:spacing w:after="60"/>
            </w:pPr>
            <w:r w:rsidRPr="009C1331"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14:paraId="5CE74BA9" w14:textId="47EEC11F" w:rsidR="00284313" w:rsidRPr="009C1331" w:rsidRDefault="00284313" w:rsidP="00284313">
            <w:pPr>
              <w:spacing w:after="60"/>
            </w:pPr>
            <w:r w:rsidRPr="009C1331">
              <w:t>2024.</w:t>
            </w:r>
          </w:p>
        </w:tc>
        <w:tc>
          <w:tcPr>
            <w:tcW w:w="1109" w:type="pct"/>
            <w:gridSpan w:val="2"/>
            <w:vAlign w:val="center"/>
          </w:tcPr>
          <w:p w14:paraId="304E8C01" w14:textId="037CD089" w:rsidR="00284313" w:rsidRPr="009C1331" w:rsidRDefault="00284313" w:rsidP="00284313">
            <w:pPr>
              <w:spacing w:after="60"/>
            </w:pPr>
            <w:r w:rsidRPr="009C1331">
              <w:t>Медицински факултет у Новом Саду</w:t>
            </w:r>
          </w:p>
        </w:tc>
        <w:tc>
          <w:tcPr>
            <w:tcW w:w="2263" w:type="pct"/>
            <w:gridSpan w:val="8"/>
            <w:vAlign w:val="center"/>
          </w:tcPr>
          <w:p w14:paraId="505DD4A2" w14:textId="73AD600F" w:rsidR="00284313" w:rsidRPr="009C1331" w:rsidRDefault="00284313" w:rsidP="00284313">
            <w:pPr>
              <w:spacing w:after="60"/>
            </w:pPr>
            <w:r w:rsidRPr="009C1331">
              <w:t>Ортопедија</w:t>
            </w:r>
          </w:p>
        </w:tc>
      </w:tr>
      <w:tr w:rsidR="00284313" w:rsidRPr="009C1331" w14:paraId="0FBBF9BA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081D0EC0" w14:textId="77777777" w:rsidR="00284313" w:rsidRPr="009C1331" w:rsidRDefault="00284313" w:rsidP="00284313">
            <w:pPr>
              <w:spacing w:after="60"/>
            </w:pPr>
            <w:r w:rsidRPr="009C1331"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14:paraId="5DCB8423" w14:textId="0D3F4A5E" w:rsidR="00284313" w:rsidRPr="009C1331" w:rsidRDefault="00284313" w:rsidP="00284313">
            <w:pPr>
              <w:spacing w:after="60"/>
            </w:pPr>
            <w:r w:rsidRPr="009C1331">
              <w:t>2018.</w:t>
            </w:r>
          </w:p>
        </w:tc>
        <w:tc>
          <w:tcPr>
            <w:tcW w:w="1109" w:type="pct"/>
            <w:gridSpan w:val="2"/>
            <w:vAlign w:val="center"/>
          </w:tcPr>
          <w:p w14:paraId="639908E1" w14:textId="0A0C9ADE" w:rsidR="00284313" w:rsidRPr="009C1331" w:rsidRDefault="00284313" w:rsidP="00284313">
            <w:pPr>
              <w:spacing w:after="60"/>
            </w:pPr>
            <w:r w:rsidRPr="009C1331">
              <w:t>Медицински факултет у Новом Саду</w:t>
            </w:r>
          </w:p>
        </w:tc>
        <w:tc>
          <w:tcPr>
            <w:tcW w:w="2263" w:type="pct"/>
            <w:gridSpan w:val="8"/>
            <w:vAlign w:val="center"/>
          </w:tcPr>
          <w:p w14:paraId="00F69B99" w14:textId="66351ACE" w:rsidR="00284313" w:rsidRPr="009C1331" w:rsidRDefault="00284313" w:rsidP="00284313">
            <w:pPr>
              <w:spacing w:after="60"/>
            </w:pPr>
            <w:r w:rsidRPr="009C1331">
              <w:t>Ортопедија и трауматологија</w:t>
            </w:r>
          </w:p>
        </w:tc>
      </w:tr>
      <w:tr w:rsidR="00284313" w:rsidRPr="009C1331" w14:paraId="6A7CD000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39681071" w14:textId="77777777" w:rsidR="00284313" w:rsidRPr="009C1331" w:rsidRDefault="00284313" w:rsidP="00284313">
            <w:pPr>
              <w:spacing w:after="60"/>
            </w:pPr>
            <w:r w:rsidRPr="009C1331"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14:paraId="684B830C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1109" w:type="pct"/>
            <w:gridSpan w:val="2"/>
            <w:vAlign w:val="center"/>
          </w:tcPr>
          <w:p w14:paraId="33EF4A29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2263" w:type="pct"/>
            <w:gridSpan w:val="8"/>
            <w:vAlign w:val="center"/>
          </w:tcPr>
          <w:p w14:paraId="7DFCE8D3" w14:textId="77777777" w:rsidR="00284313" w:rsidRPr="009C1331" w:rsidRDefault="00284313" w:rsidP="00284313">
            <w:pPr>
              <w:spacing w:after="60"/>
            </w:pPr>
          </w:p>
        </w:tc>
      </w:tr>
      <w:tr w:rsidR="00284313" w:rsidRPr="009C1331" w14:paraId="7BCC7A05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514478D3" w14:textId="77777777" w:rsidR="00284313" w:rsidRPr="009C1331" w:rsidRDefault="00284313" w:rsidP="00284313">
            <w:pPr>
              <w:spacing w:after="60"/>
            </w:pPr>
            <w:r w:rsidRPr="009C1331"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14:paraId="4ADC14E9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1109" w:type="pct"/>
            <w:gridSpan w:val="2"/>
            <w:vAlign w:val="center"/>
          </w:tcPr>
          <w:p w14:paraId="781B1BD0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2263" w:type="pct"/>
            <w:gridSpan w:val="8"/>
            <w:vAlign w:val="center"/>
          </w:tcPr>
          <w:p w14:paraId="4306ED5A" w14:textId="77777777" w:rsidR="00284313" w:rsidRPr="009C1331" w:rsidRDefault="00284313" w:rsidP="00284313">
            <w:pPr>
              <w:spacing w:after="60"/>
            </w:pPr>
          </w:p>
        </w:tc>
      </w:tr>
      <w:tr w:rsidR="00284313" w:rsidRPr="009C1331" w14:paraId="40717409" w14:textId="77777777" w:rsidTr="002E6345">
        <w:trPr>
          <w:trHeight w:val="227"/>
          <w:jc w:val="center"/>
        </w:trPr>
        <w:tc>
          <w:tcPr>
            <w:tcW w:w="1140" w:type="pct"/>
            <w:gridSpan w:val="2"/>
            <w:vAlign w:val="center"/>
          </w:tcPr>
          <w:p w14:paraId="6E721A55" w14:textId="77777777" w:rsidR="00284313" w:rsidRPr="009C1331" w:rsidRDefault="00284313" w:rsidP="00284313">
            <w:pPr>
              <w:spacing w:after="60"/>
            </w:pPr>
            <w:r w:rsidRPr="009C1331"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14:paraId="2A692D49" w14:textId="6E7CC01B" w:rsidR="00284313" w:rsidRPr="009C1331" w:rsidRDefault="00284313" w:rsidP="00284313">
            <w:pPr>
              <w:spacing w:after="60"/>
            </w:pPr>
            <w:r w:rsidRPr="009C1331">
              <w:t>2010.</w:t>
            </w:r>
          </w:p>
        </w:tc>
        <w:tc>
          <w:tcPr>
            <w:tcW w:w="1109" w:type="pct"/>
            <w:gridSpan w:val="2"/>
            <w:vAlign w:val="center"/>
          </w:tcPr>
          <w:p w14:paraId="1FFB0D7B" w14:textId="231638C2" w:rsidR="00284313" w:rsidRPr="009C1331" w:rsidRDefault="00284313" w:rsidP="00284313">
            <w:pPr>
              <w:spacing w:after="60"/>
            </w:pPr>
            <w:r w:rsidRPr="009C1331">
              <w:t>Медицински факултет у Новом Саду</w:t>
            </w:r>
          </w:p>
        </w:tc>
        <w:tc>
          <w:tcPr>
            <w:tcW w:w="2263" w:type="pct"/>
            <w:gridSpan w:val="8"/>
            <w:vAlign w:val="center"/>
          </w:tcPr>
          <w:p w14:paraId="7D40F7DA" w14:textId="7D55DD0D" w:rsidR="00284313" w:rsidRPr="009C1331" w:rsidRDefault="00284313" w:rsidP="00284313">
            <w:pPr>
              <w:spacing w:after="60"/>
            </w:pPr>
            <w:r w:rsidRPr="009C1331">
              <w:t>Општа медицина</w:t>
            </w:r>
          </w:p>
        </w:tc>
      </w:tr>
      <w:tr w:rsidR="00284313" w:rsidRPr="009C1331" w14:paraId="71A368E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5B7D5143" w14:textId="77777777" w:rsidR="00284313" w:rsidRPr="009C1331" w:rsidRDefault="00284313" w:rsidP="00284313">
            <w:pPr>
              <w:spacing w:after="60"/>
            </w:pPr>
            <w:r w:rsidRPr="009C1331">
              <w:rPr>
                <w:b/>
              </w:rPr>
              <w:t>Списак дисертација-докторских уметничких пројеката а у којима је наставнк ментор или је био ментор у претходних 10 година</w:t>
            </w:r>
          </w:p>
        </w:tc>
      </w:tr>
      <w:tr w:rsidR="00284313" w:rsidRPr="009C1331" w14:paraId="3AF41E12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24FD5A63" w14:textId="77777777" w:rsidR="00284313" w:rsidRPr="009C1331" w:rsidRDefault="00284313" w:rsidP="00284313">
            <w:pPr>
              <w:spacing w:after="60"/>
            </w:pPr>
            <w:r w:rsidRPr="009C1331">
              <w:t>Р.Б.</w:t>
            </w:r>
          </w:p>
        </w:tc>
        <w:tc>
          <w:tcPr>
            <w:tcW w:w="2024" w:type="pct"/>
            <w:gridSpan w:val="4"/>
            <w:vAlign w:val="center"/>
          </w:tcPr>
          <w:p w14:paraId="26815F68" w14:textId="77777777" w:rsidR="00284313" w:rsidRPr="009C1331" w:rsidRDefault="00284313" w:rsidP="00284313">
            <w:pPr>
              <w:spacing w:after="60"/>
            </w:pPr>
            <w:r w:rsidRPr="009C1331">
              <w:t xml:space="preserve">Наслов дисертације- докторског уметничког пројекта </w:t>
            </w:r>
          </w:p>
        </w:tc>
        <w:tc>
          <w:tcPr>
            <w:tcW w:w="676" w:type="pct"/>
            <w:gridSpan w:val="3"/>
            <w:vAlign w:val="center"/>
          </w:tcPr>
          <w:p w14:paraId="4C35F1A5" w14:textId="77777777" w:rsidR="00284313" w:rsidRPr="009C1331" w:rsidRDefault="00284313" w:rsidP="00284313">
            <w:pPr>
              <w:spacing w:after="60"/>
            </w:pPr>
            <w:r w:rsidRPr="009C1331">
              <w:t>Име кандидата</w:t>
            </w:r>
          </w:p>
        </w:tc>
        <w:tc>
          <w:tcPr>
            <w:tcW w:w="650" w:type="pct"/>
            <w:gridSpan w:val="2"/>
            <w:vAlign w:val="center"/>
          </w:tcPr>
          <w:p w14:paraId="4C84311D" w14:textId="77777777" w:rsidR="00284313" w:rsidRPr="009C1331" w:rsidRDefault="00284313" w:rsidP="00284313">
            <w:pPr>
              <w:spacing w:after="60"/>
            </w:pPr>
            <w:r w:rsidRPr="009C1331">
              <w:t xml:space="preserve">*пријављена </w:t>
            </w:r>
          </w:p>
        </w:tc>
        <w:tc>
          <w:tcPr>
            <w:tcW w:w="1312" w:type="pct"/>
            <w:gridSpan w:val="4"/>
            <w:vAlign w:val="center"/>
          </w:tcPr>
          <w:p w14:paraId="065D0E24" w14:textId="77777777" w:rsidR="00284313" w:rsidRPr="009C1331" w:rsidRDefault="00284313" w:rsidP="00284313">
            <w:pPr>
              <w:spacing w:after="60"/>
            </w:pPr>
            <w:r w:rsidRPr="009C1331">
              <w:t>** одбрањена</w:t>
            </w:r>
          </w:p>
        </w:tc>
      </w:tr>
      <w:tr w:rsidR="00284313" w:rsidRPr="009C1331" w14:paraId="6572B200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42326BB6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2024" w:type="pct"/>
            <w:gridSpan w:val="4"/>
            <w:vAlign w:val="center"/>
          </w:tcPr>
          <w:p w14:paraId="235AF06C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676" w:type="pct"/>
            <w:gridSpan w:val="3"/>
            <w:vAlign w:val="center"/>
          </w:tcPr>
          <w:p w14:paraId="72C627C3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650" w:type="pct"/>
            <w:gridSpan w:val="2"/>
            <w:vAlign w:val="center"/>
          </w:tcPr>
          <w:p w14:paraId="36F05D73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1312" w:type="pct"/>
            <w:gridSpan w:val="4"/>
            <w:vAlign w:val="center"/>
          </w:tcPr>
          <w:p w14:paraId="3E3DD720" w14:textId="77777777" w:rsidR="00284313" w:rsidRPr="009C1331" w:rsidRDefault="00284313" w:rsidP="00284313">
            <w:pPr>
              <w:spacing w:after="60"/>
            </w:pPr>
          </w:p>
        </w:tc>
      </w:tr>
      <w:tr w:rsidR="00284313" w:rsidRPr="009C1331" w14:paraId="45DD0FF2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7C239FDC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2024" w:type="pct"/>
            <w:gridSpan w:val="4"/>
            <w:vAlign w:val="center"/>
          </w:tcPr>
          <w:p w14:paraId="7DB8B068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676" w:type="pct"/>
            <w:gridSpan w:val="3"/>
            <w:vAlign w:val="center"/>
          </w:tcPr>
          <w:p w14:paraId="31547ECB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650" w:type="pct"/>
            <w:gridSpan w:val="2"/>
            <w:vAlign w:val="center"/>
          </w:tcPr>
          <w:p w14:paraId="1190F2B6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1312" w:type="pct"/>
            <w:gridSpan w:val="4"/>
            <w:vAlign w:val="center"/>
          </w:tcPr>
          <w:p w14:paraId="00BBF61B" w14:textId="77777777" w:rsidR="00284313" w:rsidRPr="009C1331" w:rsidRDefault="00284313" w:rsidP="00284313">
            <w:pPr>
              <w:spacing w:after="60"/>
            </w:pPr>
          </w:p>
        </w:tc>
      </w:tr>
      <w:tr w:rsidR="00284313" w:rsidRPr="009C1331" w14:paraId="6AD65056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4CB9A236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2024" w:type="pct"/>
            <w:gridSpan w:val="4"/>
            <w:vAlign w:val="center"/>
          </w:tcPr>
          <w:p w14:paraId="0890DB1F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676" w:type="pct"/>
            <w:gridSpan w:val="3"/>
            <w:vAlign w:val="center"/>
          </w:tcPr>
          <w:p w14:paraId="3832DE26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650" w:type="pct"/>
            <w:gridSpan w:val="2"/>
            <w:vAlign w:val="center"/>
          </w:tcPr>
          <w:p w14:paraId="12811FE4" w14:textId="77777777" w:rsidR="00284313" w:rsidRPr="009C1331" w:rsidRDefault="00284313" w:rsidP="00284313">
            <w:pPr>
              <w:spacing w:after="60"/>
            </w:pPr>
          </w:p>
        </w:tc>
        <w:tc>
          <w:tcPr>
            <w:tcW w:w="1312" w:type="pct"/>
            <w:gridSpan w:val="4"/>
            <w:vAlign w:val="center"/>
          </w:tcPr>
          <w:p w14:paraId="7EB11743" w14:textId="77777777" w:rsidR="00284313" w:rsidRPr="009C1331" w:rsidRDefault="00284313" w:rsidP="00284313">
            <w:pPr>
              <w:spacing w:after="60"/>
            </w:pPr>
          </w:p>
        </w:tc>
      </w:tr>
      <w:tr w:rsidR="00284313" w:rsidRPr="009C1331" w14:paraId="12FFD708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3AD4DBC5" w14:textId="77777777" w:rsidR="00284313" w:rsidRPr="009C1331" w:rsidRDefault="00284313" w:rsidP="00284313">
            <w:pPr>
              <w:spacing w:after="60"/>
              <w:jc w:val="both"/>
            </w:pPr>
            <w:r w:rsidRPr="009C1331">
              <w:t>*Година  у којој је дисертација-докторски уметнички пројекат  пријављена-пријављен (само за дисертације-докторске уметничке пројекте  које су у току), ** Година у којој је дисертација-докторски уметнички пројекат  одбрањена (само за дисертације-докторско уметничке пројекте  из ранијег периода)</w:t>
            </w:r>
          </w:p>
        </w:tc>
      </w:tr>
      <w:tr w:rsidR="00284313" w:rsidRPr="009C1331" w14:paraId="359076A5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BE905CD" w14:textId="77777777" w:rsidR="00284313" w:rsidRPr="009C1331" w:rsidRDefault="00284313" w:rsidP="00284313">
            <w:pPr>
              <w:spacing w:after="60"/>
              <w:jc w:val="both"/>
              <w:rPr>
                <w:b/>
              </w:rPr>
            </w:pPr>
            <w:r w:rsidRPr="009C1331">
              <w:rPr>
                <w:b/>
              </w:rPr>
              <w:t>Категоризација публикације научних радова  из области датог студијског програма  према класификацији ресорног Министарства просвете, науке и технолошког развоја  а у складу са допунским захтевевима  стандарда за дато поље</w:t>
            </w:r>
          </w:p>
        </w:tc>
      </w:tr>
      <w:tr w:rsidR="00284313" w:rsidRPr="009C1331" w14:paraId="21EEA240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02246473" w14:textId="77777777" w:rsidR="00284313" w:rsidRPr="009C1331" w:rsidRDefault="00284313" w:rsidP="00284313">
            <w:pPr>
              <w:spacing w:line="276" w:lineRule="auto"/>
              <w:ind w:left="-23"/>
              <w:jc w:val="center"/>
              <w:rPr>
                <w:b/>
              </w:rPr>
            </w:pPr>
            <w:r w:rsidRPr="009C1331">
              <w:rPr>
                <w:b/>
              </w:rPr>
              <w:t>Р.б.</w:t>
            </w:r>
          </w:p>
        </w:tc>
        <w:tc>
          <w:tcPr>
            <w:tcW w:w="3609" w:type="pct"/>
            <w:gridSpan w:val="10"/>
          </w:tcPr>
          <w:p w14:paraId="492E2E59" w14:textId="77777777" w:rsidR="00284313" w:rsidRPr="009C1331" w:rsidRDefault="00284313" w:rsidP="00284313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b/>
                <w:sz w:val="20"/>
                <w:szCs w:val="20"/>
                <w:lang w:val="sr-Cyrl-CS"/>
              </w:rPr>
              <w:t>Публикација</w:t>
            </w:r>
          </w:p>
        </w:tc>
        <w:tc>
          <w:tcPr>
            <w:tcW w:w="357" w:type="pct"/>
          </w:tcPr>
          <w:p w14:paraId="0BB4EA5F" w14:textId="77777777" w:rsidR="00284313" w:rsidRPr="009C1331" w:rsidRDefault="00284313" w:rsidP="0028431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b/>
                <w:sz w:val="20"/>
                <w:szCs w:val="20"/>
                <w:lang w:val="sr-Cyrl-CS"/>
              </w:rPr>
              <w:t>ISI</w:t>
            </w:r>
          </w:p>
        </w:tc>
        <w:tc>
          <w:tcPr>
            <w:tcW w:w="357" w:type="pct"/>
          </w:tcPr>
          <w:p w14:paraId="3690076B" w14:textId="77777777" w:rsidR="00284313" w:rsidRPr="009C1331" w:rsidRDefault="00284313" w:rsidP="0028431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b/>
                <w:sz w:val="20"/>
                <w:szCs w:val="20"/>
                <w:lang w:val="sr-Cyrl-CS"/>
              </w:rPr>
              <w:t>M</w:t>
            </w:r>
          </w:p>
        </w:tc>
        <w:tc>
          <w:tcPr>
            <w:tcW w:w="340" w:type="pct"/>
          </w:tcPr>
          <w:p w14:paraId="4E796398" w14:textId="77777777" w:rsidR="00284313" w:rsidRPr="009C1331" w:rsidRDefault="00284313" w:rsidP="0028431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b/>
                <w:sz w:val="20"/>
                <w:szCs w:val="20"/>
                <w:lang w:val="sr-Cyrl-CS"/>
              </w:rPr>
              <w:t>IF</w:t>
            </w:r>
          </w:p>
        </w:tc>
      </w:tr>
      <w:tr w:rsidR="002E6345" w:rsidRPr="009C1331" w14:paraId="382EA95C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31EDF395" w14:textId="5829F7C7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10A67293" w14:textId="2A2E5C11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 xml:space="preserve">Milinkov M, Dulić O, Bjelobrk M, Tošić M, Baljak B, Mirković M, </w:t>
            </w:r>
            <w:r w:rsidRPr="009C1331">
              <w:rPr>
                <w:b/>
                <w:bCs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sz w:val="20"/>
                <w:szCs w:val="20"/>
                <w:lang w:val="sr-Cyrl-CS"/>
              </w:rPr>
              <w:t>. Bone Defect Regeneration and Donor-Site Morbidity After Bone–Patellar Tendon–Bone Anterior Cruciate Ligament Reconstruction: A Prospective Cohort Study. Medicina. 2026; 62(6):1203. DOI: 10.3390/medicina62061203</w:t>
            </w:r>
          </w:p>
        </w:tc>
        <w:tc>
          <w:tcPr>
            <w:tcW w:w="357" w:type="pct"/>
          </w:tcPr>
          <w:p w14:paraId="5C8623E7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211C3F18" w14:textId="4F8EB684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" w:type="pct"/>
          </w:tcPr>
          <w:p w14:paraId="53AD3DF4" w14:textId="1A4EA664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</w:tr>
      <w:tr w:rsidR="002E6345" w:rsidRPr="009C1331" w14:paraId="26F1B738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2AF732D6" w14:textId="5D136F99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68660C37" w14:textId="4D91F826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 xml:space="preserve">Dulic O, Abazovic D, </w:t>
            </w:r>
            <w:r w:rsidRPr="009C1331">
              <w:rPr>
                <w:b/>
                <w:sz w:val="20"/>
                <w:szCs w:val="20"/>
                <w:lang w:val="sr-Cyrl-CS"/>
              </w:rPr>
              <w:t>Obradovic M</w:t>
            </w:r>
            <w:r w:rsidRPr="009C1331">
              <w:rPr>
                <w:sz w:val="20"/>
                <w:szCs w:val="20"/>
                <w:lang w:val="sr-Cyrl-CS"/>
              </w:rPr>
              <w:t>, Vranjes M, Lalic I, Ninkovic S, et al. Bioregenerative autologous scaffold made from bone marrow aspirate concentrate, cancellous bone autograft, platelet-rich plasma, and autologous fibrin to treat non-unions of the femur, humerus, and forearm bones: a case series. Regen Med. 2025;20(4):123-31. doi: 10.1080/17460751.2024.2352250</w:t>
            </w:r>
          </w:p>
        </w:tc>
        <w:tc>
          <w:tcPr>
            <w:tcW w:w="357" w:type="pct"/>
          </w:tcPr>
          <w:p w14:paraId="2DEF76F8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56B3CB87" w14:textId="73E9A178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" w:type="pct"/>
          </w:tcPr>
          <w:p w14:paraId="4A93E62A" w14:textId="370758B2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2E6345" w:rsidRPr="009C1331" w14:paraId="4469DDEC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220EB0A5" w14:textId="4DAD2669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289B607E" w14:textId="76340D57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 xml:space="preserve">Dulic O, Abazovic D, Matijevic S, Rasovic P, </w:t>
            </w:r>
            <w:r w:rsidRPr="009C1331">
              <w:rPr>
                <w:b/>
                <w:sz w:val="20"/>
                <w:szCs w:val="20"/>
                <w:lang w:val="sr-Cyrl-CS"/>
              </w:rPr>
              <w:t>Obradovic M</w:t>
            </w:r>
            <w:r w:rsidRPr="009C1331">
              <w:rPr>
                <w:sz w:val="20"/>
                <w:szCs w:val="20"/>
                <w:lang w:val="sr-Cyrl-CS"/>
              </w:rPr>
              <w:t xml:space="preserve">, Bjelobrk M, et al. Quality of life changes in patients suffering from knee osteoarthritis treated with bone marrow aspirate concentrate, platelet-rich plasma and hyaluronic acid injections. Regen Med. 2025;20(2-3):87-96. DOI: 10.1080/17460751.2025.2472589 </w:t>
            </w:r>
          </w:p>
        </w:tc>
        <w:tc>
          <w:tcPr>
            <w:tcW w:w="357" w:type="pct"/>
          </w:tcPr>
          <w:p w14:paraId="6BD17E3D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5EE4DA67" w14:textId="45F0C551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" w:type="pct"/>
          </w:tcPr>
          <w:p w14:paraId="0C9B7F28" w14:textId="2963F356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2E6345" w:rsidRPr="009C1331" w14:paraId="4FE9C7E5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2C739003" w14:textId="06A75E38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68687E6E" w14:textId="727AEBD5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color w:val="000000"/>
                <w:sz w:val="20"/>
                <w:szCs w:val="20"/>
                <w:lang w:val="sr-Cyrl-CS"/>
              </w:rPr>
              <w:t xml:space="preserve">Milinkov M, Vučinić N, </w:t>
            </w:r>
            <w:r w:rsidRPr="009C1331">
              <w:rPr>
                <w:b/>
                <w:color w:val="000000"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color w:val="000000"/>
                <w:sz w:val="20"/>
                <w:szCs w:val="20"/>
                <w:lang w:val="sr-Cyrl-CS"/>
              </w:rPr>
              <w:t>, Vukosav N, Tošić M, Krstonošić B. Morphology of ulnar trochlear notch and defining ideal position for olecranon osteotomy. Cir Cir. 2024; 92(5):641-6. doi: 10.24875/CIRU.22000528.</w:t>
            </w:r>
          </w:p>
        </w:tc>
        <w:tc>
          <w:tcPr>
            <w:tcW w:w="357" w:type="pct"/>
          </w:tcPr>
          <w:p w14:paraId="0BC73CC6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7573203D" w14:textId="70B6482E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" w:type="pct"/>
          </w:tcPr>
          <w:p w14:paraId="5CA8B9B9" w14:textId="355FAC54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</w:tr>
      <w:tr w:rsidR="002E6345" w:rsidRPr="009C1331" w14:paraId="7446B0FA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56A6864A" w14:textId="5DD6362D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4D7AA684" w14:textId="4DA3A54B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 xml:space="preserve">Mikić M, Milutinović D, Aranđelović B, Stojaković N, </w:t>
            </w:r>
            <w:r w:rsidRPr="009C1331">
              <w:rPr>
                <w:b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sz w:val="20"/>
                <w:szCs w:val="20"/>
                <w:lang w:val="sr-Cyrl-CS"/>
              </w:rPr>
              <w:t xml:space="preserve">, Plećaš-Đurić A </w:t>
            </w:r>
            <w:r w:rsidRPr="009C1331">
              <w:rPr>
                <w:sz w:val="20"/>
                <w:szCs w:val="20"/>
                <w:lang w:val="sr-Cyrl-CS"/>
              </w:rPr>
              <w:lastRenderedPageBreak/>
              <w:t xml:space="preserve">et al. The advantages of using tranexamic acid in anterior cruciate ligament reconstruction: a randomized controlled trial. </w:t>
            </w:r>
            <w:r w:rsidRPr="009C1331">
              <w:rPr>
                <w:color w:val="000000"/>
                <w:sz w:val="20"/>
                <w:szCs w:val="20"/>
                <w:lang w:val="sr-Cyrl-CS"/>
              </w:rPr>
              <w:t>Cir Cir. 2024; 92(4):525-31</w:t>
            </w:r>
            <w:r w:rsidRPr="009C1331">
              <w:rPr>
                <w:sz w:val="20"/>
                <w:szCs w:val="20"/>
                <w:lang w:val="sr-Cyrl-CS"/>
              </w:rPr>
              <w:t>. DOI: 10.24875/CIRU.23000578.</w:t>
            </w:r>
          </w:p>
        </w:tc>
        <w:tc>
          <w:tcPr>
            <w:tcW w:w="357" w:type="pct"/>
          </w:tcPr>
          <w:p w14:paraId="7552E36D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07EBC5C3" w14:textId="1A09088A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" w:type="pct"/>
          </w:tcPr>
          <w:p w14:paraId="7B0E725F" w14:textId="7F36BB8D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</w:tr>
      <w:tr w:rsidR="002E6345" w:rsidRPr="009C1331" w14:paraId="43FCACA5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57005A6F" w14:textId="7DE94026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439A38A7" w14:textId="622258D3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 xml:space="preserve">Dulic O, Abazovic DZ, Gavrilovic G, Rasovic P, Janjic N, </w:t>
            </w:r>
            <w:r w:rsidRPr="009C1331">
              <w:rPr>
                <w:b/>
                <w:sz w:val="20"/>
                <w:szCs w:val="20"/>
                <w:lang w:val="sr-Cyrl-CS"/>
              </w:rPr>
              <w:t xml:space="preserve">Obradovic M </w:t>
            </w:r>
            <w:r w:rsidRPr="009C1331">
              <w:rPr>
                <w:sz w:val="20"/>
                <w:szCs w:val="20"/>
                <w:lang w:val="sr-Cyrl-CS"/>
              </w:rPr>
              <w:t>et al. A case series utilizing bone marrow aspirate concentrate, cancellous bone autograft, platelet-rich plasma and autologous fibrin for the treatment of femur nonunions. Regen Med. 2024;19(5):225-37. DOI: 10.1080/17460751.2024.2352250.</w:t>
            </w:r>
          </w:p>
        </w:tc>
        <w:tc>
          <w:tcPr>
            <w:tcW w:w="357" w:type="pct"/>
          </w:tcPr>
          <w:p w14:paraId="0E7C40D4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4FCFB68B" w14:textId="5AB679C8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" w:type="pct"/>
          </w:tcPr>
          <w:p w14:paraId="6E9ACECE" w14:textId="4A9B9387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</w:tr>
      <w:tr w:rsidR="002E6345" w:rsidRPr="009C1331" w14:paraId="047E025C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07BE071B" w14:textId="784EEFE8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20234F28" w14:textId="0A15AD2E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 xml:space="preserve">Samac J, Božović P, Stanković Petrović J, Petrović B, Vranješ M, Rašović P, </w:t>
            </w:r>
            <w:r w:rsidRPr="009C1331">
              <w:rPr>
                <w:b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sz w:val="20"/>
                <w:szCs w:val="20"/>
                <w:lang w:val="sr-Cyrl-CS"/>
              </w:rPr>
              <w:t>. Assessment of occupational eye lens exposure during image-guided orthopedic procedures. Nuclear Technology &amp; Radiation Protection. 2023; 38(3):202-7. DOI: 10.2298/NTRP2303202S</w:t>
            </w:r>
          </w:p>
        </w:tc>
        <w:tc>
          <w:tcPr>
            <w:tcW w:w="357" w:type="pct"/>
          </w:tcPr>
          <w:p w14:paraId="05A07BCA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78B9A815" w14:textId="7CA1766E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" w:type="pct"/>
          </w:tcPr>
          <w:p w14:paraId="05721436" w14:textId="638F2EC0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2E6345" w:rsidRPr="009C1331" w14:paraId="36E578CB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3A8D77DA" w14:textId="07568C19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603BCBF2" w14:textId="0FE3DF09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b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sz w:val="20"/>
                <w:szCs w:val="20"/>
                <w:lang w:val="sr-Cyrl-CS"/>
              </w:rPr>
              <w:t>, Ninković S, Gvozdenović N, Tošić M, Milinkov M, Dulić O. Tubularization of Bone-Tendon-Bone Grafts: Effects on Mechanical Strength and Postoperative Knee Stability in Anterior Cruciate Ligament Reconstruction. Medicina. 2023; 59(10):1764. DOI: 10.3390/medicina59101764</w:t>
            </w:r>
          </w:p>
        </w:tc>
        <w:tc>
          <w:tcPr>
            <w:tcW w:w="357" w:type="pct"/>
          </w:tcPr>
          <w:p w14:paraId="710BF660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72F7BD8E" w14:textId="33F01391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" w:type="pct"/>
          </w:tcPr>
          <w:p w14:paraId="252FD405" w14:textId="76D93942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2.985</w:t>
            </w:r>
          </w:p>
        </w:tc>
      </w:tr>
      <w:tr w:rsidR="002E6345" w:rsidRPr="009C1331" w14:paraId="3B2123E8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54BEA1A8" w14:textId="1E495574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304C9E19" w14:textId="129E5587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color w:val="000000"/>
                <w:sz w:val="20"/>
                <w:szCs w:val="20"/>
                <w:lang w:val="sr-Cyrl-CS"/>
              </w:rPr>
              <w:t xml:space="preserve">Ninković S, Milankov V, Tošić M, Majkić M, Baljak B, Milinkov M, </w:t>
            </w:r>
            <w:r w:rsidRPr="009C1331">
              <w:rPr>
                <w:b/>
                <w:color w:val="000000"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color w:val="000000"/>
                <w:sz w:val="20"/>
                <w:szCs w:val="20"/>
                <w:lang w:val="sr-Cyrl-CS"/>
              </w:rPr>
              <w:t>. Segmental Humeral Head Reconstruction in Patients with Chronic Locked Posterior Shoulder Dislocation. Medicina. 2023; 59(10):1736. DOI: 10.3390/medicina59101736</w:t>
            </w:r>
          </w:p>
        </w:tc>
        <w:tc>
          <w:tcPr>
            <w:tcW w:w="357" w:type="pct"/>
          </w:tcPr>
          <w:p w14:paraId="0659E66C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41E97FB2" w14:textId="5F43D4E9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" w:type="pct"/>
          </w:tcPr>
          <w:p w14:paraId="35D4ADED" w14:textId="73D528EC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2.985</w:t>
            </w:r>
          </w:p>
        </w:tc>
      </w:tr>
      <w:tr w:rsidR="002E6345" w:rsidRPr="009C1331" w14:paraId="3A063CAB" w14:textId="77777777" w:rsidTr="002E6345">
        <w:trPr>
          <w:trHeight w:val="227"/>
          <w:jc w:val="center"/>
        </w:trPr>
        <w:tc>
          <w:tcPr>
            <w:tcW w:w="338" w:type="pct"/>
            <w:vAlign w:val="center"/>
          </w:tcPr>
          <w:p w14:paraId="016B47B6" w14:textId="7E6009B8" w:rsidR="002E6345" w:rsidRPr="009C1331" w:rsidRDefault="002E6345" w:rsidP="002E6345">
            <w:pPr>
              <w:spacing w:line="276" w:lineRule="auto"/>
              <w:ind w:left="-23"/>
              <w:jc w:val="center"/>
            </w:pPr>
            <w:r w:rsidRPr="009C1331"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3609" w:type="pct"/>
            <w:gridSpan w:val="10"/>
          </w:tcPr>
          <w:p w14:paraId="0BAACF16" w14:textId="576AB8D2" w:rsidR="002E6345" w:rsidRPr="009C1331" w:rsidRDefault="002E6345" w:rsidP="002E6345">
            <w:pPr>
              <w:pStyle w:val="TableParagraph"/>
              <w:tabs>
                <w:tab w:val="left" w:pos="396"/>
              </w:tabs>
              <w:spacing w:line="276" w:lineRule="auto"/>
              <w:ind w:left="65" w:right="-15"/>
              <w:jc w:val="both"/>
              <w:rPr>
                <w:b/>
                <w:sz w:val="20"/>
                <w:szCs w:val="20"/>
                <w:lang w:val="sr-Cyrl-CS"/>
              </w:rPr>
            </w:pPr>
            <w:r w:rsidRPr="009C1331">
              <w:rPr>
                <w:color w:val="000000"/>
                <w:sz w:val="20"/>
                <w:szCs w:val="20"/>
                <w:lang w:val="sr-Cyrl-CS"/>
              </w:rPr>
              <w:t xml:space="preserve">Ninković S, Harhaji V, Rašović P, Gvozdenović N, </w:t>
            </w:r>
            <w:r w:rsidRPr="009C1331">
              <w:rPr>
                <w:b/>
                <w:color w:val="000000"/>
                <w:sz w:val="20"/>
                <w:szCs w:val="20"/>
                <w:lang w:val="sr-Cyrl-CS"/>
              </w:rPr>
              <w:t>Obradović M</w:t>
            </w:r>
            <w:r w:rsidRPr="009C1331">
              <w:rPr>
                <w:color w:val="000000"/>
                <w:sz w:val="20"/>
                <w:szCs w:val="20"/>
                <w:lang w:val="sr-Cyrl-CS"/>
              </w:rPr>
              <w:t>. Bone tunnel enlargement after the reconstruction of anterior cruciate ligament using BTB graft. Vojnosanit Pregl. 2018; 75(7):682-90.</w:t>
            </w:r>
          </w:p>
        </w:tc>
        <w:tc>
          <w:tcPr>
            <w:tcW w:w="357" w:type="pct"/>
          </w:tcPr>
          <w:p w14:paraId="32D73ACA" w14:textId="77777777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57" w:type="pct"/>
          </w:tcPr>
          <w:p w14:paraId="05F7146A" w14:textId="34413F1C" w:rsidR="002E6345" w:rsidRPr="009C1331" w:rsidRDefault="002E6345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C1331">
              <w:rPr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" w:type="pct"/>
          </w:tcPr>
          <w:p w14:paraId="72D6EB1A" w14:textId="462C5E65" w:rsidR="002E6345" w:rsidRPr="00F86422" w:rsidRDefault="00F86422" w:rsidP="002E6345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0.418</w:t>
            </w:r>
          </w:p>
        </w:tc>
      </w:tr>
      <w:tr w:rsidR="002E6345" w:rsidRPr="009C1331" w14:paraId="23B86895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416D934B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rPr>
                <w:b/>
              </w:rPr>
              <w:t>Збирни подаци научне активност наставника</w:t>
            </w:r>
          </w:p>
        </w:tc>
      </w:tr>
      <w:tr w:rsidR="002E6345" w:rsidRPr="009C1331" w14:paraId="763F1386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490E8C7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rPr>
                <w:b/>
              </w:rPr>
              <w:t>Збирни подаци уметничке  активност наставника</w:t>
            </w:r>
          </w:p>
        </w:tc>
      </w:tr>
      <w:tr w:rsidR="002E6345" w:rsidRPr="009C1331" w14:paraId="669F88F3" w14:textId="77777777" w:rsidTr="002E6345">
        <w:trPr>
          <w:trHeight w:val="227"/>
          <w:jc w:val="center"/>
        </w:trPr>
        <w:tc>
          <w:tcPr>
            <w:tcW w:w="2895" w:type="pct"/>
            <w:gridSpan w:val="7"/>
            <w:vAlign w:val="center"/>
          </w:tcPr>
          <w:p w14:paraId="6CDCF7FC" w14:textId="77777777" w:rsidR="002E6345" w:rsidRPr="009C1331" w:rsidRDefault="002E6345" w:rsidP="002E6345">
            <w:pPr>
              <w:spacing w:after="60"/>
            </w:pPr>
            <w:r w:rsidRPr="009C1331">
              <w:t>Укупан број цитата, без аутоцитата</w:t>
            </w:r>
          </w:p>
        </w:tc>
        <w:tc>
          <w:tcPr>
            <w:tcW w:w="2105" w:type="pct"/>
            <w:gridSpan w:val="7"/>
            <w:vAlign w:val="center"/>
          </w:tcPr>
          <w:p w14:paraId="74226592" w14:textId="24FA9E42" w:rsidR="002E6345" w:rsidRPr="00F86422" w:rsidRDefault="00F86422" w:rsidP="002E6345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 (Scopus)</w:t>
            </w:r>
          </w:p>
        </w:tc>
      </w:tr>
      <w:tr w:rsidR="002E6345" w:rsidRPr="009C1331" w14:paraId="47F5178F" w14:textId="77777777" w:rsidTr="002E6345">
        <w:trPr>
          <w:trHeight w:val="227"/>
          <w:jc w:val="center"/>
        </w:trPr>
        <w:tc>
          <w:tcPr>
            <w:tcW w:w="2895" w:type="pct"/>
            <w:gridSpan w:val="7"/>
            <w:vAlign w:val="center"/>
          </w:tcPr>
          <w:p w14:paraId="1155B64F" w14:textId="77777777" w:rsidR="002E6345" w:rsidRPr="009C1331" w:rsidRDefault="002E6345" w:rsidP="002E6345">
            <w:pPr>
              <w:spacing w:after="60"/>
            </w:pPr>
            <w:r w:rsidRPr="009C1331">
              <w:t>Укупан број радова са SCI (или SSCI) листе</w:t>
            </w:r>
          </w:p>
        </w:tc>
        <w:tc>
          <w:tcPr>
            <w:tcW w:w="2105" w:type="pct"/>
            <w:gridSpan w:val="7"/>
            <w:vAlign w:val="center"/>
          </w:tcPr>
          <w:p w14:paraId="203FBAFC" w14:textId="17CBD9FE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rPr>
                <w:b/>
              </w:rPr>
              <w:t>12</w:t>
            </w:r>
          </w:p>
        </w:tc>
      </w:tr>
      <w:tr w:rsidR="002E6345" w:rsidRPr="009C1331" w14:paraId="2FA54C2F" w14:textId="77777777" w:rsidTr="002E6345">
        <w:trPr>
          <w:trHeight w:val="227"/>
          <w:jc w:val="center"/>
        </w:trPr>
        <w:tc>
          <w:tcPr>
            <w:tcW w:w="2895" w:type="pct"/>
            <w:gridSpan w:val="7"/>
            <w:vAlign w:val="center"/>
          </w:tcPr>
          <w:p w14:paraId="2095A3C4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t>Тренутно учешће на пројектима</w:t>
            </w:r>
          </w:p>
        </w:tc>
        <w:tc>
          <w:tcPr>
            <w:tcW w:w="660" w:type="pct"/>
            <w:gridSpan w:val="2"/>
            <w:vAlign w:val="center"/>
          </w:tcPr>
          <w:p w14:paraId="27B84F60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t>Домаћи</w:t>
            </w:r>
          </w:p>
        </w:tc>
        <w:tc>
          <w:tcPr>
            <w:tcW w:w="1445" w:type="pct"/>
            <w:gridSpan w:val="5"/>
            <w:vAlign w:val="center"/>
          </w:tcPr>
          <w:p w14:paraId="64C9E00D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t>Међународни</w:t>
            </w:r>
          </w:p>
        </w:tc>
      </w:tr>
      <w:tr w:rsidR="002E6345" w:rsidRPr="009C1331" w14:paraId="424185D9" w14:textId="77777777" w:rsidTr="002E6345">
        <w:trPr>
          <w:trHeight w:val="227"/>
          <w:jc w:val="center"/>
        </w:trPr>
        <w:tc>
          <w:tcPr>
            <w:tcW w:w="2895" w:type="pct"/>
            <w:gridSpan w:val="7"/>
            <w:vAlign w:val="center"/>
          </w:tcPr>
          <w:p w14:paraId="73686B68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t>Усавршавања</w:t>
            </w:r>
          </w:p>
        </w:tc>
        <w:tc>
          <w:tcPr>
            <w:tcW w:w="2105" w:type="pct"/>
            <w:gridSpan w:val="7"/>
            <w:vAlign w:val="center"/>
          </w:tcPr>
          <w:p w14:paraId="285BFEF7" w14:textId="77777777" w:rsidR="002E6345" w:rsidRPr="002E6345" w:rsidRDefault="002E6345" w:rsidP="002E6345">
            <w:pPr>
              <w:pStyle w:val="ListParagraph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2E6345">
              <w:rPr>
                <w:sz w:val="20"/>
                <w:szCs w:val="20"/>
                <w:lang w:val="sr-Cyrl-CS"/>
              </w:rPr>
              <w:t>Knee and Shoulder Course at ArthroLab™, Munich, Germany (November 10-11, 2023)</w:t>
            </w:r>
          </w:p>
          <w:p w14:paraId="6C512331" w14:textId="77777777" w:rsidR="002E6345" w:rsidRPr="002E6345" w:rsidRDefault="002E6345" w:rsidP="002E6345">
            <w:pPr>
              <w:pStyle w:val="ListParagraph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2E6345">
              <w:rPr>
                <w:sz w:val="20"/>
                <w:szCs w:val="20"/>
                <w:lang w:val="sr-Cyrl-CS"/>
              </w:rPr>
              <w:t>Elbow arthroscopy course, IRCAD training center, Strasbourg, France (February 10-11, 2023)</w:t>
            </w:r>
          </w:p>
          <w:p w14:paraId="7FC00A5B" w14:textId="77777777" w:rsidR="002E6345" w:rsidRPr="002E6345" w:rsidRDefault="002E6345" w:rsidP="002E6345">
            <w:pPr>
              <w:pStyle w:val="ListParagraph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2E6345">
              <w:rPr>
                <w:sz w:val="20"/>
                <w:szCs w:val="20"/>
                <w:lang w:val="sr-Cyrl-CS"/>
              </w:rPr>
              <w:t>AO Trauma Course - Shoulder and Elbow with Anatomical Specimens, Szeged, Hungary (June 08-10, 2022)</w:t>
            </w:r>
          </w:p>
          <w:p w14:paraId="055A3322" w14:textId="77777777" w:rsidR="002E6345" w:rsidRPr="002E6345" w:rsidRDefault="002E6345" w:rsidP="002E6345">
            <w:pPr>
              <w:pStyle w:val="ListParagraph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2E6345">
              <w:rPr>
                <w:sz w:val="20"/>
                <w:szCs w:val="20"/>
                <w:lang w:val="sr-Cyrl-CS"/>
              </w:rPr>
              <w:t>SkillsLAB - SMR Shoulder solutions: from bone-preserving to stemmed options, Warsaw, Poland (October 24-25, 2019)</w:t>
            </w:r>
          </w:p>
          <w:p w14:paraId="70684C61" w14:textId="77777777" w:rsidR="002E6345" w:rsidRPr="002E6345" w:rsidRDefault="002E6345" w:rsidP="002E6345">
            <w:pPr>
              <w:pStyle w:val="ListParagraph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2E6345">
              <w:rPr>
                <w:sz w:val="20"/>
                <w:szCs w:val="20"/>
                <w:lang w:val="sr-Cyrl-CS"/>
              </w:rPr>
              <w:t>AO Trauma Course - Advanced Principles of Fracture Management, Sibiu, Romania (May 30 – June 02, 2019)</w:t>
            </w:r>
          </w:p>
          <w:p w14:paraId="6C472BCF" w14:textId="77777777" w:rsidR="002E6345" w:rsidRPr="002E6345" w:rsidRDefault="002E6345" w:rsidP="002E6345">
            <w:pPr>
              <w:pStyle w:val="ListParagraph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2E6345">
              <w:rPr>
                <w:sz w:val="20"/>
                <w:szCs w:val="20"/>
                <w:lang w:val="sr-Cyrl-CS"/>
              </w:rPr>
              <w:t>Open Medical Institute (OMI) seminar - Bone &amp; Joint Surgery 2018, Salzburg, Austria (June 10-16, 2018)</w:t>
            </w:r>
          </w:p>
          <w:p w14:paraId="39B3D00E" w14:textId="016886BC" w:rsidR="002E6345" w:rsidRPr="009C1331" w:rsidRDefault="002E6345" w:rsidP="002E6345">
            <w:pPr>
              <w:spacing w:after="60"/>
              <w:rPr>
                <w:b/>
              </w:rPr>
            </w:pPr>
            <w:r w:rsidRPr="002E6345">
              <w:t>AO Trauma Course - Basic Principles of Fracture Management, Pécs, Hungary (February 08-10, 2017)</w:t>
            </w:r>
          </w:p>
        </w:tc>
      </w:tr>
      <w:tr w:rsidR="002E6345" w:rsidRPr="009C1331" w14:paraId="55B52A23" w14:textId="77777777" w:rsidTr="002E6345">
        <w:trPr>
          <w:trHeight w:val="227"/>
          <w:jc w:val="center"/>
        </w:trPr>
        <w:tc>
          <w:tcPr>
            <w:tcW w:w="2895" w:type="pct"/>
            <w:gridSpan w:val="7"/>
            <w:vAlign w:val="center"/>
          </w:tcPr>
          <w:p w14:paraId="66B8AAB9" w14:textId="77777777" w:rsidR="002E6345" w:rsidRPr="009C1331" w:rsidRDefault="002E6345" w:rsidP="002E6345">
            <w:pPr>
              <w:spacing w:after="60"/>
              <w:rPr>
                <w:b/>
              </w:rPr>
            </w:pPr>
            <w:r w:rsidRPr="009C1331">
              <w:t>Други подаци које сматрате релевантним</w:t>
            </w:r>
          </w:p>
        </w:tc>
        <w:tc>
          <w:tcPr>
            <w:tcW w:w="2105" w:type="pct"/>
            <w:gridSpan w:val="7"/>
            <w:vAlign w:val="center"/>
          </w:tcPr>
          <w:p w14:paraId="557A73B1" w14:textId="77777777" w:rsidR="002E6345" w:rsidRPr="009C1331" w:rsidRDefault="002E6345" w:rsidP="002E6345">
            <w:pPr>
              <w:spacing w:after="60"/>
              <w:rPr>
                <w:b/>
              </w:rPr>
            </w:pPr>
          </w:p>
        </w:tc>
      </w:tr>
    </w:tbl>
    <w:p w14:paraId="221E5C94" w14:textId="77777777" w:rsidR="00505EBB" w:rsidRPr="00975A90" w:rsidRDefault="00FA083F">
      <w:pPr>
        <w:rPr>
          <w:sz w:val="16"/>
          <w:szCs w:val="16"/>
        </w:rPr>
      </w:pPr>
      <w:r w:rsidRPr="009C1331">
        <w:rPr>
          <w:sz w:val="16"/>
          <w:szCs w:val="16"/>
        </w:rPr>
        <w:t>Максимална дужине не 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24"/>
    <w:rsid w:val="00011AB3"/>
    <w:rsid w:val="00043CA3"/>
    <w:rsid w:val="001516E2"/>
    <w:rsid w:val="00284313"/>
    <w:rsid w:val="002E6345"/>
    <w:rsid w:val="00494424"/>
    <w:rsid w:val="00505EBB"/>
    <w:rsid w:val="00975A90"/>
    <w:rsid w:val="009C1331"/>
    <w:rsid w:val="00AB00FC"/>
    <w:rsid w:val="00BB395F"/>
    <w:rsid w:val="00EA25FB"/>
    <w:rsid w:val="00F86422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2C98"/>
  <w15:docId w15:val="{C76F4F9A-3EEA-4DFE-BE2A-914622B2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noProof/>
      <w:sz w:val="20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043CA3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 Mirčić</cp:lastModifiedBy>
  <cp:revision>5</cp:revision>
  <cp:lastPrinted>2026-07-13T07:01:00Z</cp:lastPrinted>
  <dcterms:created xsi:type="dcterms:W3CDTF">2020-10-30T10:45:00Z</dcterms:created>
  <dcterms:modified xsi:type="dcterms:W3CDTF">2026-07-13T07:18:00Z</dcterms:modified>
</cp:coreProperties>
</file>