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ACE7" w14:textId="77777777" w:rsidR="00494424" w:rsidRPr="00DE02EC" w:rsidRDefault="00494424" w:rsidP="00494424">
      <w:pPr>
        <w:spacing w:after="60"/>
        <w:jc w:val="center"/>
        <w:rPr>
          <w:iCs/>
          <w:sz w:val="22"/>
          <w:szCs w:val="22"/>
          <w:lang w:val="sr-Cyrl-CS"/>
        </w:rPr>
      </w:pPr>
      <w:r w:rsidRPr="00DE02EC">
        <w:rPr>
          <w:b/>
          <w:iCs/>
          <w:sz w:val="22"/>
          <w:szCs w:val="22"/>
          <w:lang w:val="sr-Cyrl-CS"/>
        </w:rPr>
        <w:t>Табела. 9.</w:t>
      </w:r>
      <w:r>
        <w:rPr>
          <w:b/>
          <w:iCs/>
          <w:sz w:val="22"/>
          <w:szCs w:val="22"/>
        </w:rPr>
        <w:t>8</w:t>
      </w:r>
      <w:r w:rsidRPr="00DE02EC">
        <w:rPr>
          <w:iCs/>
          <w:sz w:val="22"/>
          <w:szCs w:val="22"/>
          <w:lang w:val="sr-Cyrl-CS"/>
        </w:rPr>
        <w:t xml:space="preserve"> </w:t>
      </w:r>
      <w:r w:rsidRPr="0044005F">
        <w:rPr>
          <w:iCs/>
          <w:sz w:val="22"/>
          <w:szCs w:val="22"/>
          <w:lang w:val="sr-Cyrl-CS"/>
        </w:rPr>
        <w:t>Компетентност ментора</w:t>
      </w: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557"/>
        <w:gridCol w:w="930"/>
        <w:gridCol w:w="1415"/>
        <w:gridCol w:w="981"/>
        <w:gridCol w:w="257"/>
        <w:gridCol w:w="486"/>
        <w:gridCol w:w="542"/>
        <w:gridCol w:w="271"/>
        <w:gridCol w:w="475"/>
        <w:gridCol w:w="873"/>
        <w:gridCol w:w="750"/>
        <w:gridCol w:w="750"/>
      </w:tblGrid>
      <w:tr w:rsidR="00494424" w:rsidRPr="00A22864" w14:paraId="07FC4AED" w14:textId="77777777" w:rsidTr="00D6036B">
        <w:trPr>
          <w:trHeight w:val="227"/>
          <w:jc w:val="center"/>
        </w:trPr>
        <w:tc>
          <w:tcPr>
            <w:tcW w:w="1564" w:type="pct"/>
            <w:gridSpan w:val="3"/>
            <w:vAlign w:val="center"/>
          </w:tcPr>
          <w:p w14:paraId="24C1C767" w14:textId="77777777" w:rsidR="00494424" w:rsidRPr="00A22864" w:rsidRDefault="00494424" w:rsidP="008E1BFA">
            <w:pPr>
              <w:spacing w:after="60"/>
              <w:rPr>
                <w:lang w:val="sr-Cyrl-CS"/>
              </w:rPr>
            </w:pPr>
            <w:r w:rsidRPr="00A22864">
              <w:rPr>
                <w:b/>
                <w:lang w:val="sr-Cyrl-CS"/>
              </w:rPr>
              <w:t>Име и презиме</w:t>
            </w:r>
          </w:p>
        </w:tc>
        <w:tc>
          <w:tcPr>
            <w:tcW w:w="3436" w:type="pct"/>
            <w:gridSpan w:val="10"/>
            <w:vAlign w:val="center"/>
          </w:tcPr>
          <w:p w14:paraId="390B77B6" w14:textId="7B776818" w:rsidR="00494424" w:rsidRPr="00A22864" w:rsidRDefault="008353F0" w:rsidP="008E1BFA">
            <w:pPr>
              <w:spacing w:after="60"/>
              <w:rPr>
                <w:lang w:val="sr-Cyrl-CS"/>
              </w:rPr>
            </w:pPr>
            <w:hyperlink r:id="rId4" w:history="1">
              <w:r w:rsidRPr="008353F0">
                <w:rPr>
                  <w:rStyle w:val="Hyperlink"/>
                  <w:lang w:val="sr-Cyrl-CS"/>
                </w:rPr>
                <w:t>Томи Ковачевић</w:t>
              </w:r>
            </w:hyperlink>
          </w:p>
        </w:tc>
      </w:tr>
      <w:tr w:rsidR="00494424" w:rsidRPr="00A22864" w14:paraId="574E5F11" w14:textId="77777777" w:rsidTr="00D6036B">
        <w:trPr>
          <w:trHeight w:val="227"/>
          <w:jc w:val="center"/>
        </w:trPr>
        <w:tc>
          <w:tcPr>
            <w:tcW w:w="1564" w:type="pct"/>
            <w:gridSpan w:val="3"/>
            <w:vAlign w:val="center"/>
          </w:tcPr>
          <w:p w14:paraId="74D31659" w14:textId="77777777" w:rsidR="00494424" w:rsidRPr="00A22864" w:rsidRDefault="00494424" w:rsidP="008E1BFA">
            <w:pPr>
              <w:spacing w:after="60"/>
              <w:rPr>
                <w:lang w:val="sr-Cyrl-CS"/>
              </w:rPr>
            </w:pPr>
            <w:r w:rsidRPr="00A22864">
              <w:rPr>
                <w:b/>
                <w:lang w:val="sr-Cyrl-CS"/>
              </w:rPr>
              <w:t>Звање</w:t>
            </w:r>
          </w:p>
        </w:tc>
        <w:tc>
          <w:tcPr>
            <w:tcW w:w="3436" w:type="pct"/>
            <w:gridSpan w:val="10"/>
            <w:vAlign w:val="center"/>
          </w:tcPr>
          <w:p w14:paraId="610D53A2" w14:textId="3E1F227D" w:rsidR="00494424" w:rsidRPr="00A22864" w:rsidRDefault="008353F0" w:rsidP="008E1BFA">
            <w:pPr>
              <w:spacing w:after="60"/>
              <w:rPr>
                <w:lang w:val="sr-Cyrl-CS"/>
              </w:rPr>
            </w:pPr>
            <w:r>
              <w:rPr>
                <w:lang w:val="sr-Cyrl-CS"/>
              </w:rPr>
              <w:t>Доцент</w:t>
            </w:r>
          </w:p>
        </w:tc>
      </w:tr>
      <w:tr w:rsidR="00494424" w:rsidRPr="00A22864" w14:paraId="1A9BA966" w14:textId="77777777" w:rsidTr="00D6036B">
        <w:trPr>
          <w:trHeight w:val="227"/>
          <w:jc w:val="center"/>
        </w:trPr>
        <w:tc>
          <w:tcPr>
            <w:tcW w:w="1564" w:type="pct"/>
            <w:gridSpan w:val="3"/>
            <w:vAlign w:val="center"/>
          </w:tcPr>
          <w:p w14:paraId="74A1FA9F" w14:textId="77777777" w:rsidR="00494424" w:rsidRPr="00A22864" w:rsidRDefault="00494424" w:rsidP="008E1BFA">
            <w:pPr>
              <w:spacing w:after="60"/>
              <w:rPr>
                <w:lang w:val="sr-Cyrl-CS"/>
              </w:rPr>
            </w:pPr>
            <w:r w:rsidRPr="00A22864">
              <w:rPr>
                <w:b/>
                <w:lang w:val="sr-Cyrl-CS"/>
              </w:rPr>
              <w:t>Ужа научна</w:t>
            </w:r>
            <w:r>
              <w:rPr>
                <w:b/>
                <w:lang w:val="sr-Cyrl-CS"/>
              </w:rPr>
              <w:t xml:space="preserve">, уметничка односно стручна </w:t>
            </w:r>
            <w:r w:rsidRPr="00A22864">
              <w:rPr>
                <w:b/>
                <w:lang w:val="sr-Cyrl-CS"/>
              </w:rPr>
              <w:t xml:space="preserve"> област</w:t>
            </w:r>
          </w:p>
        </w:tc>
        <w:tc>
          <w:tcPr>
            <w:tcW w:w="3436" w:type="pct"/>
            <w:gridSpan w:val="10"/>
            <w:vAlign w:val="center"/>
          </w:tcPr>
          <w:p w14:paraId="051891BD" w14:textId="4ABA7553" w:rsidR="00494424" w:rsidRPr="00A22864" w:rsidRDefault="00447721" w:rsidP="008E1BFA">
            <w:pPr>
              <w:spacing w:after="60"/>
              <w:rPr>
                <w:lang w:val="sr-Cyrl-CS"/>
              </w:rPr>
            </w:pPr>
            <w:r>
              <w:rPr>
                <w:lang w:val="sr-Cyrl-CS"/>
              </w:rPr>
              <w:t>Геријатрија</w:t>
            </w:r>
          </w:p>
        </w:tc>
      </w:tr>
      <w:tr w:rsidR="00975A90" w:rsidRPr="00A22864" w14:paraId="37EA8692" w14:textId="77777777" w:rsidTr="00434B43">
        <w:trPr>
          <w:trHeight w:val="227"/>
          <w:jc w:val="center"/>
        </w:trPr>
        <w:tc>
          <w:tcPr>
            <w:tcW w:w="1094" w:type="pct"/>
            <w:gridSpan w:val="2"/>
            <w:vAlign w:val="center"/>
          </w:tcPr>
          <w:p w14:paraId="60BE6833" w14:textId="77777777" w:rsidR="00494424" w:rsidRPr="00A22864" w:rsidRDefault="00494424" w:rsidP="008E1BFA">
            <w:pPr>
              <w:spacing w:after="60"/>
              <w:rPr>
                <w:lang w:val="sr-Cyrl-CS"/>
              </w:rPr>
            </w:pPr>
            <w:r w:rsidRPr="00A22864">
              <w:rPr>
                <w:b/>
                <w:lang w:val="sr-Cyrl-CS"/>
              </w:rPr>
              <w:t>Академска каријера</w:t>
            </w:r>
          </w:p>
        </w:tc>
        <w:tc>
          <w:tcPr>
            <w:tcW w:w="470" w:type="pct"/>
            <w:vAlign w:val="center"/>
          </w:tcPr>
          <w:p w14:paraId="03B04492" w14:textId="77777777" w:rsidR="00494424" w:rsidRPr="00975A90" w:rsidRDefault="00494424" w:rsidP="00975A90">
            <w:pPr>
              <w:spacing w:after="60"/>
              <w:jc w:val="center"/>
              <w:rPr>
                <w:b/>
                <w:lang w:val="sr-Cyrl-CS"/>
              </w:rPr>
            </w:pPr>
            <w:r w:rsidRPr="00975A90">
              <w:rPr>
                <w:b/>
                <w:lang w:val="sr-Cyrl-CS"/>
              </w:rPr>
              <w:t>Година</w:t>
            </w:r>
          </w:p>
        </w:tc>
        <w:tc>
          <w:tcPr>
            <w:tcW w:w="1586" w:type="pct"/>
            <w:gridSpan w:val="4"/>
            <w:vAlign w:val="center"/>
          </w:tcPr>
          <w:p w14:paraId="1C4358ED" w14:textId="77777777" w:rsidR="00494424" w:rsidRPr="00975A90" w:rsidRDefault="00494424" w:rsidP="00975A90">
            <w:pPr>
              <w:spacing w:after="60"/>
              <w:jc w:val="center"/>
              <w:rPr>
                <w:b/>
                <w:lang w:val="sr-Cyrl-CS"/>
              </w:rPr>
            </w:pPr>
            <w:r w:rsidRPr="00975A90">
              <w:rPr>
                <w:b/>
                <w:lang w:val="sr-Cyrl-CS"/>
              </w:rPr>
              <w:t>Институција</w:t>
            </w:r>
          </w:p>
        </w:tc>
        <w:tc>
          <w:tcPr>
            <w:tcW w:w="1850" w:type="pct"/>
            <w:gridSpan w:val="6"/>
            <w:vAlign w:val="center"/>
          </w:tcPr>
          <w:p w14:paraId="5EB7454D" w14:textId="77777777" w:rsidR="00494424" w:rsidRPr="00975A90" w:rsidRDefault="00494424" w:rsidP="00975A90">
            <w:pPr>
              <w:spacing w:after="60"/>
              <w:jc w:val="center"/>
              <w:rPr>
                <w:b/>
                <w:lang w:val="sr-Cyrl-CS"/>
              </w:rPr>
            </w:pPr>
            <w:r w:rsidRPr="00975A90">
              <w:rPr>
                <w:b/>
                <w:lang w:val="sr-Cyrl-CS"/>
              </w:rPr>
              <w:t>Ужа научна, уметничка односно стручна област</w:t>
            </w:r>
          </w:p>
        </w:tc>
      </w:tr>
      <w:tr w:rsidR="00975A90" w:rsidRPr="00A22864" w14:paraId="0B3ECA66" w14:textId="77777777" w:rsidTr="00434B43">
        <w:trPr>
          <w:trHeight w:val="227"/>
          <w:jc w:val="center"/>
        </w:trPr>
        <w:tc>
          <w:tcPr>
            <w:tcW w:w="1094" w:type="pct"/>
            <w:gridSpan w:val="2"/>
            <w:vAlign w:val="center"/>
          </w:tcPr>
          <w:p w14:paraId="3B396296" w14:textId="77777777" w:rsidR="00494424" w:rsidRPr="00A22864" w:rsidRDefault="00494424" w:rsidP="008E1BFA">
            <w:pPr>
              <w:spacing w:after="60"/>
              <w:rPr>
                <w:lang w:val="sr-Cyrl-CS"/>
              </w:rPr>
            </w:pPr>
            <w:r w:rsidRPr="00A22864">
              <w:rPr>
                <w:lang w:val="sr-Cyrl-CS"/>
              </w:rPr>
              <w:t>Избор у звање</w:t>
            </w:r>
          </w:p>
        </w:tc>
        <w:tc>
          <w:tcPr>
            <w:tcW w:w="470" w:type="pct"/>
            <w:vAlign w:val="center"/>
          </w:tcPr>
          <w:p w14:paraId="2387DC47" w14:textId="1C01701D" w:rsidR="00494424" w:rsidRPr="00A46009" w:rsidRDefault="00A46009" w:rsidP="008E1BFA">
            <w:pPr>
              <w:spacing w:after="60"/>
              <w:rPr>
                <w:lang w:val="sr-Latn-RS"/>
              </w:rPr>
            </w:pPr>
            <w:r>
              <w:rPr>
                <w:lang w:val="sr-Latn-RS"/>
              </w:rPr>
              <w:t>2025.</w:t>
            </w:r>
          </w:p>
        </w:tc>
        <w:tc>
          <w:tcPr>
            <w:tcW w:w="1586" w:type="pct"/>
            <w:gridSpan w:val="4"/>
            <w:vAlign w:val="center"/>
          </w:tcPr>
          <w:p w14:paraId="2E1A43B8" w14:textId="1BA8D6BB" w:rsidR="00494424" w:rsidRPr="00447721" w:rsidRDefault="00A46009" w:rsidP="008E1BFA">
            <w:pPr>
              <w:spacing w:after="60"/>
              <w:rPr>
                <w:lang w:val="sr-Cyrl-RS"/>
              </w:rPr>
            </w:pPr>
            <w:r w:rsidRPr="00A46009">
              <w:t xml:space="preserve">Медицински факултет </w:t>
            </w:r>
            <w:r w:rsidR="00447721">
              <w:rPr>
                <w:lang w:val="sr-Cyrl-RS"/>
              </w:rPr>
              <w:t xml:space="preserve">Универзитет у </w:t>
            </w:r>
            <w:r w:rsidRPr="00A46009">
              <w:t>Нов</w:t>
            </w:r>
            <w:r w:rsidR="00447721">
              <w:rPr>
                <w:lang w:val="sr-Cyrl-RS"/>
              </w:rPr>
              <w:t>ом</w:t>
            </w:r>
            <w:r w:rsidRPr="00A46009">
              <w:t xml:space="preserve"> Сад</w:t>
            </w:r>
            <w:r w:rsidR="00447721">
              <w:rPr>
                <w:lang w:val="sr-Cyrl-RS"/>
              </w:rPr>
              <w:t>у</w:t>
            </w:r>
          </w:p>
        </w:tc>
        <w:tc>
          <w:tcPr>
            <w:tcW w:w="1850" w:type="pct"/>
            <w:gridSpan w:val="6"/>
            <w:vAlign w:val="center"/>
          </w:tcPr>
          <w:p w14:paraId="40A4BEF6" w14:textId="557FD11D" w:rsidR="00494424" w:rsidRPr="00447721" w:rsidRDefault="00AD561D" w:rsidP="008E1BFA">
            <w:pPr>
              <w:spacing w:after="60"/>
              <w:rPr>
                <w:lang w:val="sr-Cyrl-RS"/>
              </w:rPr>
            </w:pPr>
            <w:r>
              <w:rPr>
                <w:lang w:val="sr-Cyrl-CS"/>
              </w:rPr>
              <w:t>Геријатрија</w:t>
            </w:r>
          </w:p>
        </w:tc>
      </w:tr>
      <w:tr w:rsidR="00434B43" w:rsidRPr="00A22864" w14:paraId="322D62C6" w14:textId="77777777" w:rsidTr="00434B43">
        <w:trPr>
          <w:trHeight w:val="227"/>
          <w:jc w:val="center"/>
        </w:trPr>
        <w:tc>
          <w:tcPr>
            <w:tcW w:w="1094" w:type="pct"/>
            <w:gridSpan w:val="2"/>
            <w:vAlign w:val="center"/>
          </w:tcPr>
          <w:p w14:paraId="02E7552B" w14:textId="77777777" w:rsidR="00434B43" w:rsidRPr="00A22864" w:rsidRDefault="00434B43" w:rsidP="00434B43">
            <w:pPr>
              <w:spacing w:after="60"/>
              <w:rPr>
                <w:lang w:val="sr-Cyrl-CS"/>
              </w:rPr>
            </w:pPr>
            <w:r w:rsidRPr="00A22864">
              <w:rPr>
                <w:lang w:val="sr-Cyrl-CS"/>
              </w:rPr>
              <w:t>Докторат</w:t>
            </w:r>
          </w:p>
        </w:tc>
        <w:tc>
          <w:tcPr>
            <w:tcW w:w="470" w:type="pct"/>
            <w:vAlign w:val="center"/>
          </w:tcPr>
          <w:p w14:paraId="7FBB093E" w14:textId="1E0AEC7C" w:rsidR="00434B43" w:rsidRPr="00434B43" w:rsidRDefault="00434B43" w:rsidP="00434B43">
            <w:pPr>
              <w:spacing w:after="60"/>
              <w:rPr>
                <w:lang w:val="sr-Latn-RS"/>
              </w:rPr>
            </w:pPr>
            <w:r>
              <w:rPr>
                <w:lang w:val="sr-Latn-RS"/>
              </w:rPr>
              <w:t>2020.</w:t>
            </w:r>
          </w:p>
        </w:tc>
        <w:tc>
          <w:tcPr>
            <w:tcW w:w="1586" w:type="pct"/>
            <w:gridSpan w:val="4"/>
            <w:vAlign w:val="center"/>
          </w:tcPr>
          <w:p w14:paraId="3AE8F852" w14:textId="77777777" w:rsidR="00447721" w:rsidRDefault="00434B43" w:rsidP="00434B43">
            <w:pPr>
              <w:spacing w:after="60"/>
              <w:rPr>
                <w:lang w:val="sr-Cyrl-RS"/>
              </w:rPr>
            </w:pPr>
            <w:r w:rsidRPr="00A46009">
              <w:t xml:space="preserve">Медицински факултет </w:t>
            </w:r>
          </w:p>
          <w:p w14:paraId="455E7953" w14:textId="4B5F3297" w:rsidR="00434B43" w:rsidRPr="00A22864" w:rsidRDefault="00447721" w:rsidP="00434B43">
            <w:pPr>
              <w:spacing w:after="60"/>
              <w:rPr>
                <w:lang w:val="sr-Cyrl-CS"/>
              </w:rPr>
            </w:pPr>
            <w:r>
              <w:rPr>
                <w:lang w:val="sr-Cyrl-RS"/>
              </w:rPr>
              <w:t xml:space="preserve">Универзитет у </w:t>
            </w:r>
            <w:r w:rsidRPr="00A46009">
              <w:t>Нов</w:t>
            </w:r>
            <w:r>
              <w:rPr>
                <w:lang w:val="sr-Cyrl-RS"/>
              </w:rPr>
              <w:t>ом</w:t>
            </w:r>
            <w:r w:rsidRPr="00A46009">
              <w:t xml:space="preserve"> Сад</w:t>
            </w:r>
            <w:r>
              <w:rPr>
                <w:lang w:val="sr-Cyrl-RS"/>
              </w:rPr>
              <w:t>у</w:t>
            </w:r>
            <w:r w:rsidRPr="00A46009">
              <w:t xml:space="preserve"> </w:t>
            </w:r>
          </w:p>
        </w:tc>
        <w:tc>
          <w:tcPr>
            <w:tcW w:w="1850" w:type="pct"/>
            <w:gridSpan w:val="6"/>
            <w:vAlign w:val="center"/>
          </w:tcPr>
          <w:p w14:paraId="546141FD" w14:textId="1596C2E6" w:rsidR="00434B43" w:rsidRPr="00A22864" w:rsidRDefault="00AD561D" w:rsidP="00434B43">
            <w:pPr>
              <w:spacing w:after="60"/>
              <w:rPr>
                <w:lang w:val="sr-Cyrl-CS"/>
              </w:rPr>
            </w:pPr>
            <w:r>
              <w:rPr>
                <w:lang w:val="sr-Cyrl-CS"/>
              </w:rPr>
              <w:t>Јавно здравље</w:t>
            </w:r>
          </w:p>
        </w:tc>
      </w:tr>
      <w:tr w:rsidR="00434B43" w:rsidRPr="00A22864" w14:paraId="49B4953A" w14:textId="77777777" w:rsidTr="00434B43">
        <w:trPr>
          <w:trHeight w:val="227"/>
          <w:jc w:val="center"/>
        </w:trPr>
        <w:tc>
          <w:tcPr>
            <w:tcW w:w="1094" w:type="pct"/>
            <w:gridSpan w:val="2"/>
            <w:vAlign w:val="center"/>
          </w:tcPr>
          <w:p w14:paraId="123313EF" w14:textId="77777777" w:rsidR="00434B43" w:rsidRPr="00975A90" w:rsidRDefault="00434B43" w:rsidP="00434B43">
            <w:pPr>
              <w:spacing w:after="60"/>
            </w:pPr>
            <w:r>
              <w:t>Специјализација</w:t>
            </w:r>
          </w:p>
        </w:tc>
        <w:tc>
          <w:tcPr>
            <w:tcW w:w="470" w:type="pct"/>
            <w:vAlign w:val="center"/>
          </w:tcPr>
          <w:p w14:paraId="4C906EAC" w14:textId="50837087" w:rsidR="00434B43" w:rsidRPr="00434B43" w:rsidRDefault="00434B43" w:rsidP="00434B43">
            <w:pPr>
              <w:spacing w:after="60"/>
              <w:rPr>
                <w:lang w:val="sr-Latn-RS"/>
              </w:rPr>
            </w:pPr>
            <w:r>
              <w:rPr>
                <w:lang w:val="sr-Latn-RS"/>
              </w:rPr>
              <w:t>2017.</w:t>
            </w:r>
          </w:p>
        </w:tc>
        <w:tc>
          <w:tcPr>
            <w:tcW w:w="1586" w:type="pct"/>
            <w:gridSpan w:val="4"/>
            <w:vAlign w:val="center"/>
          </w:tcPr>
          <w:p w14:paraId="4134314B" w14:textId="77777777" w:rsidR="00AD561D" w:rsidRDefault="00434B43" w:rsidP="00434B43">
            <w:pPr>
              <w:spacing w:after="60"/>
              <w:rPr>
                <w:lang w:val="sr-Cyrl-RS"/>
              </w:rPr>
            </w:pPr>
            <w:r w:rsidRPr="00434B43">
              <w:t xml:space="preserve">Медицински факултет </w:t>
            </w:r>
          </w:p>
          <w:p w14:paraId="5BF294D3" w14:textId="40805485" w:rsidR="00434B43" w:rsidRPr="00AD561D" w:rsidRDefault="00AD561D" w:rsidP="00434B43">
            <w:pPr>
              <w:spacing w:after="60"/>
              <w:rPr>
                <w:lang w:val="sr-Cyrl-RS"/>
              </w:rPr>
            </w:pPr>
            <w:r>
              <w:rPr>
                <w:lang w:val="sr-Cyrl-RS"/>
              </w:rPr>
              <w:t>Универзитет у</w:t>
            </w:r>
            <w:r w:rsidRPr="00434B43">
              <w:t xml:space="preserve"> </w:t>
            </w:r>
            <w:r w:rsidR="00434B43" w:rsidRPr="00434B43">
              <w:t>Београд</w:t>
            </w:r>
            <w:r>
              <w:rPr>
                <w:lang w:val="sr-Cyrl-RS"/>
              </w:rPr>
              <w:t>у</w:t>
            </w:r>
          </w:p>
        </w:tc>
        <w:tc>
          <w:tcPr>
            <w:tcW w:w="1850" w:type="pct"/>
            <w:gridSpan w:val="6"/>
            <w:vAlign w:val="center"/>
          </w:tcPr>
          <w:p w14:paraId="0444426A" w14:textId="124A12B1" w:rsidR="00434B43" w:rsidRPr="00A22864" w:rsidRDefault="00AD561D" w:rsidP="00434B43">
            <w:pPr>
              <w:spacing w:after="60"/>
              <w:rPr>
                <w:lang w:val="sr-Cyrl-CS"/>
              </w:rPr>
            </w:pPr>
            <w:r>
              <w:rPr>
                <w:lang w:val="sr-Cyrl-CS"/>
              </w:rPr>
              <w:t>Палијативна медицина</w:t>
            </w:r>
          </w:p>
        </w:tc>
      </w:tr>
      <w:tr w:rsidR="00434B43" w:rsidRPr="00A22864" w14:paraId="5880B3C1" w14:textId="77777777" w:rsidTr="00434B43">
        <w:trPr>
          <w:trHeight w:val="227"/>
          <w:jc w:val="center"/>
        </w:trPr>
        <w:tc>
          <w:tcPr>
            <w:tcW w:w="1094" w:type="pct"/>
            <w:gridSpan w:val="2"/>
            <w:vAlign w:val="center"/>
          </w:tcPr>
          <w:p w14:paraId="2FCDBF2B" w14:textId="77777777" w:rsidR="00434B43" w:rsidRPr="000D32C3" w:rsidRDefault="00434B43" w:rsidP="00434B43">
            <w:pPr>
              <w:spacing w:after="60"/>
            </w:pPr>
            <w:r>
              <w:t>Магистратура</w:t>
            </w:r>
          </w:p>
        </w:tc>
        <w:tc>
          <w:tcPr>
            <w:tcW w:w="470" w:type="pct"/>
            <w:vAlign w:val="center"/>
          </w:tcPr>
          <w:p w14:paraId="032B9A15" w14:textId="77777777" w:rsidR="00434B43" w:rsidRPr="00A22864" w:rsidRDefault="00434B43" w:rsidP="00434B43">
            <w:pPr>
              <w:spacing w:after="60"/>
              <w:rPr>
                <w:lang w:val="sr-Cyrl-CS"/>
              </w:rPr>
            </w:pPr>
          </w:p>
        </w:tc>
        <w:tc>
          <w:tcPr>
            <w:tcW w:w="1586" w:type="pct"/>
            <w:gridSpan w:val="4"/>
            <w:vAlign w:val="center"/>
          </w:tcPr>
          <w:p w14:paraId="3AC2D9B7" w14:textId="77777777" w:rsidR="00434B43" w:rsidRPr="00A22864" w:rsidRDefault="00434B43" w:rsidP="00434B43">
            <w:pPr>
              <w:spacing w:after="60"/>
              <w:rPr>
                <w:lang w:val="sr-Cyrl-CS"/>
              </w:rPr>
            </w:pPr>
          </w:p>
        </w:tc>
        <w:tc>
          <w:tcPr>
            <w:tcW w:w="1850" w:type="pct"/>
            <w:gridSpan w:val="6"/>
            <w:vAlign w:val="center"/>
          </w:tcPr>
          <w:p w14:paraId="60272343" w14:textId="77777777" w:rsidR="00434B43" w:rsidRPr="00A22864" w:rsidRDefault="00434B43" w:rsidP="00434B43">
            <w:pPr>
              <w:spacing w:after="60"/>
              <w:rPr>
                <w:lang w:val="sr-Cyrl-CS"/>
              </w:rPr>
            </w:pPr>
          </w:p>
        </w:tc>
      </w:tr>
      <w:tr w:rsidR="00434B43" w:rsidRPr="00A22864" w14:paraId="28AB1FE8" w14:textId="77777777" w:rsidTr="00434B43">
        <w:trPr>
          <w:trHeight w:val="227"/>
          <w:jc w:val="center"/>
        </w:trPr>
        <w:tc>
          <w:tcPr>
            <w:tcW w:w="1094" w:type="pct"/>
            <w:gridSpan w:val="2"/>
            <w:vAlign w:val="center"/>
          </w:tcPr>
          <w:p w14:paraId="5C7CDAF6" w14:textId="77777777" w:rsidR="00434B43" w:rsidRDefault="00434B43" w:rsidP="00434B43">
            <w:pPr>
              <w:spacing w:after="60"/>
            </w:pPr>
            <w:r>
              <w:t xml:space="preserve">Мастер </w:t>
            </w:r>
          </w:p>
        </w:tc>
        <w:tc>
          <w:tcPr>
            <w:tcW w:w="470" w:type="pct"/>
            <w:vAlign w:val="center"/>
          </w:tcPr>
          <w:p w14:paraId="3CE90621" w14:textId="77777777" w:rsidR="00434B43" w:rsidRPr="00A22864" w:rsidRDefault="00434B43" w:rsidP="00434B43">
            <w:pPr>
              <w:spacing w:after="60"/>
              <w:rPr>
                <w:lang w:val="sr-Cyrl-CS"/>
              </w:rPr>
            </w:pPr>
          </w:p>
        </w:tc>
        <w:tc>
          <w:tcPr>
            <w:tcW w:w="1586" w:type="pct"/>
            <w:gridSpan w:val="4"/>
            <w:vAlign w:val="center"/>
          </w:tcPr>
          <w:p w14:paraId="529CF601" w14:textId="77777777" w:rsidR="00434B43" w:rsidRPr="00A22864" w:rsidRDefault="00434B43" w:rsidP="00434B43">
            <w:pPr>
              <w:spacing w:after="60"/>
              <w:rPr>
                <w:lang w:val="sr-Cyrl-CS"/>
              </w:rPr>
            </w:pPr>
          </w:p>
        </w:tc>
        <w:tc>
          <w:tcPr>
            <w:tcW w:w="1850" w:type="pct"/>
            <w:gridSpan w:val="6"/>
            <w:vAlign w:val="center"/>
          </w:tcPr>
          <w:p w14:paraId="6A967248" w14:textId="77777777" w:rsidR="00434B43" w:rsidRPr="00A22864" w:rsidRDefault="00434B43" w:rsidP="00434B43">
            <w:pPr>
              <w:spacing w:after="60"/>
              <w:rPr>
                <w:lang w:val="sr-Cyrl-CS"/>
              </w:rPr>
            </w:pPr>
          </w:p>
        </w:tc>
      </w:tr>
      <w:tr w:rsidR="00434B43" w:rsidRPr="00A22864" w14:paraId="7BCC8496" w14:textId="77777777" w:rsidTr="00434B43">
        <w:trPr>
          <w:trHeight w:val="227"/>
          <w:jc w:val="center"/>
        </w:trPr>
        <w:tc>
          <w:tcPr>
            <w:tcW w:w="1094" w:type="pct"/>
            <w:gridSpan w:val="2"/>
            <w:vAlign w:val="center"/>
          </w:tcPr>
          <w:p w14:paraId="47F3C266" w14:textId="77777777" w:rsidR="00434B43" w:rsidRPr="00A22864" w:rsidRDefault="00434B43" w:rsidP="00434B43">
            <w:pPr>
              <w:spacing w:after="60"/>
              <w:rPr>
                <w:lang w:val="sr-Cyrl-CS"/>
              </w:rPr>
            </w:pPr>
            <w:r w:rsidRPr="00A22864">
              <w:rPr>
                <w:lang w:val="sr-Cyrl-CS"/>
              </w:rPr>
              <w:t>Диплома</w:t>
            </w:r>
          </w:p>
        </w:tc>
        <w:tc>
          <w:tcPr>
            <w:tcW w:w="470" w:type="pct"/>
            <w:vAlign w:val="center"/>
          </w:tcPr>
          <w:p w14:paraId="6D75A8F4" w14:textId="67CD6485" w:rsidR="00434B43" w:rsidRPr="00434B43" w:rsidRDefault="00434B43" w:rsidP="00434B43">
            <w:pPr>
              <w:spacing w:after="60"/>
              <w:rPr>
                <w:lang w:val="sr-Latn-RS"/>
              </w:rPr>
            </w:pPr>
            <w:r>
              <w:rPr>
                <w:lang w:val="sr-Latn-RS"/>
              </w:rPr>
              <w:t>2008.</w:t>
            </w:r>
          </w:p>
        </w:tc>
        <w:tc>
          <w:tcPr>
            <w:tcW w:w="1586" w:type="pct"/>
            <w:gridSpan w:val="4"/>
            <w:vAlign w:val="center"/>
          </w:tcPr>
          <w:p w14:paraId="2F8847C0" w14:textId="77777777" w:rsidR="00434B43" w:rsidRDefault="00434B43" w:rsidP="00434B43">
            <w:pPr>
              <w:spacing w:after="60"/>
              <w:rPr>
                <w:lang w:val="sr-Cyrl-RS"/>
              </w:rPr>
            </w:pPr>
            <w:r w:rsidRPr="00A46009">
              <w:t xml:space="preserve">Медицински факултет </w:t>
            </w:r>
          </w:p>
          <w:p w14:paraId="55DF9A0A" w14:textId="1A3559CF" w:rsidR="00447721" w:rsidRPr="00447721" w:rsidRDefault="00447721" w:rsidP="00434B43">
            <w:pPr>
              <w:spacing w:after="60"/>
              <w:rPr>
                <w:lang w:val="sr-Cyrl-RS"/>
              </w:rPr>
            </w:pPr>
            <w:r>
              <w:rPr>
                <w:lang w:val="sr-Cyrl-RS"/>
              </w:rPr>
              <w:t xml:space="preserve">Универзитет у </w:t>
            </w:r>
            <w:r w:rsidRPr="00A46009">
              <w:t>Нов</w:t>
            </w:r>
            <w:r>
              <w:rPr>
                <w:lang w:val="sr-Cyrl-RS"/>
              </w:rPr>
              <w:t>ом</w:t>
            </w:r>
            <w:r w:rsidRPr="00A46009">
              <w:t xml:space="preserve"> Сад</w:t>
            </w:r>
            <w:r>
              <w:rPr>
                <w:lang w:val="sr-Cyrl-RS"/>
              </w:rPr>
              <w:t>у</w:t>
            </w:r>
          </w:p>
        </w:tc>
        <w:tc>
          <w:tcPr>
            <w:tcW w:w="1850" w:type="pct"/>
            <w:gridSpan w:val="6"/>
            <w:vAlign w:val="center"/>
          </w:tcPr>
          <w:p w14:paraId="7E256625" w14:textId="2A00BD0D" w:rsidR="00434B43" w:rsidRPr="00A22864" w:rsidRDefault="00AD561D" w:rsidP="00434B43">
            <w:pPr>
              <w:spacing w:after="60"/>
              <w:rPr>
                <w:lang w:val="sr-Cyrl-CS"/>
              </w:rPr>
            </w:pPr>
            <w:r>
              <w:rPr>
                <w:lang w:val="sr-Cyrl-CS"/>
              </w:rPr>
              <w:t>Општа медицина</w:t>
            </w:r>
          </w:p>
        </w:tc>
      </w:tr>
      <w:tr w:rsidR="00434B43" w:rsidRPr="00A22864" w14:paraId="66BE84F6" w14:textId="77777777" w:rsidTr="00494424">
        <w:trPr>
          <w:trHeight w:val="227"/>
          <w:jc w:val="center"/>
        </w:trPr>
        <w:tc>
          <w:tcPr>
            <w:tcW w:w="5000" w:type="pct"/>
            <w:gridSpan w:val="13"/>
            <w:vAlign w:val="center"/>
          </w:tcPr>
          <w:p w14:paraId="7007651A" w14:textId="77777777" w:rsidR="00434B43" w:rsidRPr="00A22864" w:rsidRDefault="00434B43" w:rsidP="00434B43">
            <w:pPr>
              <w:spacing w:after="60"/>
              <w:rPr>
                <w:lang w:val="sr-Cyrl-CS"/>
              </w:rPr>
            </w:pPr>
            <w:r>
              <w:rPr>
                <w:b/>
                <w:lang w:val="sr-Cyrl-CS"/>
              </w:rPr>
              <w:t>Списак дисертација</w:t>
            </w:r>
            <w:r>
              <w:rPr>
                <w:b/>
              </w:rPr>
              <w:t xml:space="preserve">-докторских уметничких пројеката </w:t>
            </w:r>
            <w:r w:rsidRPr="00A22864">
              <w:rPr>
                <w:b/>
                <w:lang w:val="sr-Cyrl-CS"/>
              </w:rPr>
              <w:t>а у којима је наставнк ментор или је био ментор у претходних 10 година</w:t>
            </w:r>
          </w:p>
        </w:tc>
      </w:tr>
      <w:tr w:rsidR="00434B43" w:rsidRPr="00A22864" w14:paraId="6C59BCE9" w14:textId="77777777" w:rsidTr="00D6036B">
        <w:trPr>
          <w:trHeight w:val="227"/>
          <w:jc w:val="center"/>
        </w:trPr>
        <w:tc>
          <w:tcPr>
            <w:tcW w:w="307" w:type="pct"/>
            <w:vAlign w:val="center"/>
          </w:tcPr>
          <w:p w14:paraId="35FFCE93" w14:textId="77777777" w:rsidR="00434B43" w:rsidRPr="00A22864" w:rsidRDefault="00434B43" w:rsidP="00434B43">
            <w:pPr>
              <w:spacing w:after="60"/>
              <w:rPr>
                <w:lang w:val="sr-Cyrl-CS"/>
              </w:rPr>
            </w:pPr>
            <w:r w:rsidRPr="00A22864">
              <w:rPr>
                <w:lang w:val="sr-Cyrl-CS"/>
              </w:rPr>
              <w:t>Р.Б.</w:t>
            </w:r>
          </w:p>
        </w:tc>
        <w:tc>
          <w:tcPr>
            <w:tcW w:w="1972" w:type="pct"/>
            <w:gridSpan w:val="3"/>
            <w:vAlign w:val="center"/>
          </w:tcPr>
          <w:p w14:paraId="31A4A4E3" w14:textId="77777777" w:rsidR="00434B43" w:rsidRPr="000D32C3" w:rsidRDefault="00434B43" w:rsidP="00434B43">
            <w:pPr>
              <w:spacing w:after="60"/>
            </w:pPr>
            <w:r w:rsidRPr="00A22864">
              <w:rPr>
                <w:lang w:val="sr-Cyrl-CS"/>
              </w:rPr>
              <w:t>Наслов дисертације</w:t>
            </w:r>
            <w:r>
              <w:t xml:space="preserve">- докторског уметничког пројекта </w:t>
            </w:r>
          </w:p>
        </w:tc>
        <w:tc>
          <w:tcPr>
            <w:tcW w:w="626" w:type="pct"/>
            <w:gridSpan w:val="2"/>
            <w:vAlign w:val="center"/>
          </w:tcPr>
          <w:p w14:paraId="145656E2" w14:textId="77777777" w:rsidR="00434B43" w:rsidRPr="00A22864" w:rsidRDefault="00434B43" w:rsidP="00434B43">
            <w:pPr>
              <w:spacing w:after="60"/>
              <w:rPr>
                <w:lang w:val="sr-Cyrl-CS"/>
              </w:rPr>
            </w:pPr>
            <w:r w:rsidRPr="00A22864">
              <w:rPr>
                <w:lang w:val="sr-Cyrl-CS"/>
              </w:rPr>
              <w:t>Име кандидата</w:t>
            </w:r>
          </w:p>
        </w:tc>
        <w:tc>
          <w:tcPr>
            <w:tcW w:w="656" w:type="pct"/>
            <w:gridSpan w:val="3"/>
            <w:vAlign w:val="center"/>
          </w:tcPr>
          <w:p w14:paraId="4F4FDB57" w14:textId="77777777" w:rsidR="00434B43" w:rsidRPr="00A22864" w:rsidRDefault="00434B43" w:rsidP="00434B43">
            <w:pPr>
              <w:spacing w:after="60"/>
              <w:rPr>
                <w:lang w:val="sr-Cyrl-CS"/>
              </w:rPr>
            </w:pPr>
            <w:r w:rsidRPr="00A22864">
              <w:rPr>
                <w:lang w:val="sr-Cyrl-CS"/>
              </w:rPr>
              <w:t xml:space="preserve">*пријављена </w:t>
            </w:r>
          </w:p>
        </w:tc>
        <w:tc>
          <w:tcPr>
            <w:tcW w:w="1439" w:type="pct"/>
            <w:gridSpan w:val="4"/>
            <w:vAlign w:val="center"/>
          </w:tcPr>
          <w:p w14:paraId="459E7E22" w14:textId="77777777" w:rsidR="00434B43" w:rsidRPr="00A22864" w:rsidRDefault="00434B43" w:rsidP="00434B43">
            <w:pPr>
              <w:spacing w:after="60"/>
              <w:rPr>
                <w:lang w:val="sr-Cyrl-CS"/>
              </w:rPr>
            </w:pPr>
            <w:r w:rsidRPr="00A22864">
              <w:rPr>
                <w:lang w:val="sr-Cyrl-CS"/>
              </w:rPr>
              <w:t>** одбрањена</w:t>
            </w:r>
          </w:p>
        </w:tc>
      </w:tr>
      <w:tr w:rsidR="00434B43" w:rsidRPr="00A22864" w14:paraId="3471D614" w14:textId="77777777" w:rsidTr="00D6036B">
        <w:trPr>
          <w:trHeight w:val="227"/>
          <w:jc w:val="center"/>
        </w:trPr>
        <w:tc>
          <w:tcPr>
            <w:tcW w:w="307" w:type="pct"/>
            <w:vAlign w:val="center"/>
          </w:tcPr>
          <w:p w14:paraId="49B11953" w14:textId="77777777" w:rsidR="00434B43" w:rsidRPr="00A22864" w:rsidRDefault="00434B43" w:rsidP="00434B43">
            <w:pPr>
              <w:spacing w:after="60"/>
              <w:rPr>
                <w:lang w:val="sr-Cyrl-CS"/>
              </w:rPr>
            </w:pPr>
          </w:p>
        </w:tc>
        <w:tc>
          <w:tcPr>
            <w:tcW w:w="1972" w:type="pct"/>
            <w:gridSpan w:val="3"/>
            <w:vAlign w:val="center"/>
          </w:tcPr>
          <w:p w14:paraId="2A256789" w14:textId="77777777" w:rsidR="00434B43" w:rsidRPr="00A22864" w:rsidRDefault="00434B43" w:rsidP="00434B43">
            <w:pPr>
              <w:spacing w:after="60"/>
              <w:rPr>
                <w:lang w:val="sr-Cyrl-CS"/>
              </w:rPr>
            </w:pPr>
          </w:p>
        </w:tc>
        <w:tc>
          <w:tcPr>
            <w:tcW w:w="626" w:type="pct"/>
            <w:gridSpan w:val="2"/>
            <w:vAlign w:val="center"/>
          </w:tcPr>
          <w:p w14:paraId="7801B933" w14:textId="77777777" w:rsidR="00434B43" w:rsidRPr="00A22864" w:rsidRDefault="00434B43" w:rsidP="00434B43">
            <w:pPr>
              <w:spacing w:after="60"/>
              <w:rPr>
                <w:lang w:val="sr-Cyrl-CS"/>
              </w:rPr>
            </w:pPr>
          </w:p>
        </w:tc>
        <w:tc>
          <w:tcPr>
            <w:tcW w:w="656" w:type="pct"/>
            <w:gridSpan w:val="3"/>
            <w:vAlign w:val="center"/>
          </w:tcPr>
          <w:p w14:paraId="752ACFD6" w14:textId="77777777" w:rsidR="00434B43" w:rsidRPr="00A22864" w:rsidRDefault="00434B43" w:rsidP="00434B43">
            <w:pPr>
              <w:spacing w:after="60"/>
              <w:rPr>
                <w:lang w:val="sr-Cyrl-CS"/>
              </w:rPr>
            </w:pPr>
          </w:p>
        </w:tc>
        <w:tc>
          <w:tcPr>
            <w:tcW w:w="1439" w:type="pct"/>
            <w:gridSpan w:val="4"/>
            <w:vAlign w:val="center"/>
          </w:tcPr>
          <w:p w14:paraId="06743DC1" w14:textId="77777777" w:rsidR="00434B43" w:rsidRPr="00A22864" w:rsidRDefault="00434B43" w:rsidP="00434B43">
            <w:pPr>
              <w:spacing w:after="60"/>
              <w:rPr>
                <w:lang w:val="sr-Cyrl-CS"/>
              </w:rPr>
            </w:pPr>
          </w:p>
        </w:tc>
      </w:tr>
      <w:tr w:rsidR="00434B43" w:rsidRPr="00A22864" w14:paraId="52F74AAA" w14:textId="77777777" w:rsidTr="00D6036B">
        <w:trPr>
          <w:trHeight w:val="227"/>
          <w:jc w:val="center"/>
        </w:trPr>
        <w:tc>
          <w:tcPr>
            <w:tcW w:w="307" w:type="pct"/>
            <w:vAlign w:val="center"/>
          </w:tcPr>
          <w:p w14:paraId="0E2E8341" w14:textId="77777777" w:rsidR="00434B43" w:rsidRPr="00A22864" w:rsidRDefault="00434B43" w:rsidP="00434B43">
            <w:pPr>
              <w:spacing w:after="60"/>
              <w:rPr>
                <w:lang w:val="sr-Cyrl-CS"/>
              </w:rPr>
            </w:pPr>
          </w:p>
        </w:tc>
        <w:tc>
          <w:tcPr>
            <w:tcW w:w="1972" w:type="pct"/>
            <w:gridSpan w:val="3"/>
            <w:vAlign w:val="center"/>
          </w:tcPr>
          <w:p w14:paraId="296DFAC1" w14:textId="77777777" w:rsidR="00434B43" w:rsidRPr="00A22864" w:rsidRDefault="00434B43" w:rsidP="00434B43">
            <w:pPr>
              <w:spacing w:after="60"/>
              <w:rPr>
                <w:lang w:val="sr-Cyrl-CS"/>
              </w:rPr>
            </w:pPr>
          </w:p>
        </w:tc>
        <w:tc>
          <w:tcPr>
            <w:tcW w:w="626" w:type="pct"/>
            <w:gridSpan w:val="2"/>
            <w:vAlign w:val="center"/>
          </w:tcPr>
          <w:p w14:paraId="7B39830B" w14:textId="77777777" w:rsidR="00434B43" w:rsidRPr="00A22864" w:rsidRDefault="00434B43" w:rsidP="00434B43">
            <w:pPr>
              <w:spacing w:after="60"/>
              <w:rPr>
                <w:lang w:val="sr-Cyrl-CS"/>
              </w:rPr>
            </w:pPr>
          </w:p>
        </w:tc>
        <w:tc>
          <w:tcPr>
            <w:tcW w:w="656" w:type="pct"/>
            <w:gridSpan w:val="3"/>
            <w:vAlign w:val="center"/>
          </w:tcPr>
          <w:p w14:paraId="68654164" w14:textId="77777777" w:rsidR="00434B43" w:rsidRPr="00A22864" w:rsidRDefault="00434B43" w:rsidP="00434B43">
            <w:pPr>
              <w:spacing w:after="60"/>
              <w:rPr>
                <w:lang w:val="sr-Cyrl-CS"/>
              </w:rPr>
            </w:pPr>
          </w:p>
        </w:tc>
        <w:tc>
          <w:tcPr>
            <w:tcW w:w="1439" w:type="pct"/>
            <w:gridSpan w:val="4"/>
            <w:vAlign w:val="center"/>
          </w:tcPr>
          <w:p w14:paraId="0F8A9809" w14:textId="77777777" w:rsidR="00434B43" w:rsidRPr="00A22864" w:rsidRDefault="00434B43" w:rsidP="00434B43">
            <w:pPr>
              <w:spacing w:after="60"/>
              <w:rPr>
                <w:lang w:val="sr-Cyrl-CS"/>
              </w:rPr>
            </w:pPr>
          </w:p>
        </w:tc>
      </w:tr>
      <w:tr w:rsidR="00434B43" w:rsidRPr="00A22864" w14:paraId="14763B1A" w14:textId="77777777" w:rsidTr="00D6036B">
        <w:trPr>
          <w:trHeight w:val="227"/>
          <w:jc w:val="center"/>
        </w:trPr>
        <w:tc>
          <w:tcPr>
            <w:tcW w:w="307" w:type="pct"/>
            <w:vAlign w:val="center"/>
          </w:tcPr>
          <w:p w14:paraId="73F83AD7" w14:textId="77777777" w:rsidR="00434B43" w:rsidRPr="00A22864" w:rsidRDefault="00434B43" w:rsidP="00434B43">
            <w:pPr>
              <w:spacing w:after="60"/>
              <w:rPr>
                <w:lang w:val="sr-Cyrl-CS"/>
              </w:rPr>
            </w:pPr>
          </w:p>
        </w:tc>
        <w:tc>
          <w:tcPr>
            <w:tcW w:w="1972" w:type="pct"/>
            <w:gridSpan w:val="3"/>
            <w:vAlign w:val="center"/>
          </w:tcPr>
          <w:p w14:paraId="14F63734" w14:textId="77777777" w:rsidR="00434B43" w:rsidRPr="00A22864" w:rsidRDefault="00434B43" w:rsidP="00434B43">
            <w:pPr>
              <w:spacing w:after="60"/>
              <w:rPr>
                <w:lang w:val="sr-Cyrl-CS"/>
              </w:rPr>
            </w:pPr>
          </w:p>
        </w:tc>
        <w:tc>
          <w:tcPr>
            <w:tcW w:w="626" w:type="pct"/>
            <w:gridSpan w:val="2"/>
            <w:vAlign w:val="center"/>
          </w:tcPr>
          <w:p w14:paraId="44B08B59" w14:textId="77777777" w:rsidR="00434B43" w:rsidRPr="00A22864" w:rsidRDefault="00434B43" w:rsidP="00434B43">
            <w:pPr>
              <w:spacing w:after="60"/>
              <w:rPr>
                <w:lang w:val="sr-Cyrl-CS"/>
              </w:rPr>
            </w:pPr>
          </w:p>
        </w:tc>
        <w:tc>
          <w:tcPr>
            <w:tcW w:w="656" w:type="pct"/>
            <w:gridSpan w:val="3"/>
            <w:vAlign w:val="center"/>
          </w:tcPr>
          <w:p w14:paraId="43DEBDC8" w14:textId="77777777" w:rsidR="00434B43" w:rsidRPr="00A22864" w:rsidRDefault="00434B43" w:rsidP="00434B43">
            <w:pPr>
              <w:spacing w:after="60"/>
              <w:rPr>
                <w:lang w:val="sr-Cyrl-CS"/>
              </w:rPr>
            </w:pPr>
          </w:p>
        </w:tc>
        <w:tc>
          <w:tcPr>
            <w:tcW w:w="1439" w:type="pct"/>
            <w:gridSpan w:val="4"/>
            <w:vAlign w:val="center"/>
          </w:tcPr>
          <w:p w14:paraId="53238370" w14:textId="77777777" w:rsidR="00434B43" w:rsidRPr="00A22864" w:rsidRDefault="00434B43" w:rsidP="00434B43">
            <w:pPr>
              <w:spacing w:after="60"/>
              <w:rPr>
                <w:lang w:val="sr-Cyrl-CS"/>
              </w:rPr>
            </w:pPr>
          </w:p>
        </w:tc>
      </w:tr>
      <w:tr w:rsidR="00434B43" w:rsidRPr="00A22864" w14:paraId="49A01293" w14:textId="77777777" w:rsidTr="00494424">
        <w:trPr>
          <w:trHeight w:val="227"/>
          <w:jc w:val="center"/>
        </w:trPr>
        <w:tc>
          <w:tcPr>
            <w:tcW w:w="5000" w:type="pct"/>
            <w:gridSpan w:val="13"/>
            <w:vAlign w:val="center"/>
          </w:tcPr>
          <w:p w14:paraId="16C61F00" w14:textId="77777777" w:rsidR="00434B43" w:rsidRPr="00A22864" w:rsidRDefault="00434B43" w:rsidP="00434B43">
            <w:pPr>
              <w:spacing w:after="60"/>
              <w:jc w:val="both"/>
              <w:rPr>
                <w:lang w:val="sr-Cyrl-CS"/>
              </w:rPr>
            </w:pPr>
            <w:r w:rsidRPr="00A22864">
              <w:rPr>
                <w:lang w:val="sr-Cyrl-CS"/>
              </w:rPr>
              <w:t>*Година  у којој је дисертација</w:t>
            </w:r>
            <w:r>
              <w:t xml:space="preserve">-докторски уметнички пројекат </w:t>
            </w:r>
            <w:r>
              <w:rPr>
                <w:lang w:val="sr-Cyrl-CS"/>
              </w:rPr>
              <w:t xml:space="preserve"> пријављена</w:t>
            </w:r>
            <w:r>
              <w:t xml:space="preserve">-пријављен </w:t>
            </w:r>
            <w:r w:rsidRPr="00A22864">
              <w:rPr>
                <w:lang w:val="sr-Cyrl-CS"/>
              </w:rPr>
              <w:t>(само за дисертације</w:t>
            </w:r>
            <w:r>
              <w:t xml:space="preserve">-докторске уметничке пројекте </w:t>
            </w:r>
            <w:r w:rsidRPr="00A22864">
              <w:rPr>
                <w:lang w:val="sr-Cyrl-CS"/>
              </w:rPr>
              <w:t xml:space="preserve"> које су у току), ** Година у којој је дисертација</w:t>
            </w:r>
            <w:r>
              <w:t xml:space="preserve">-докторски уметнички пројекат </w:t>
            </w:r>
            <w:r w:rsidRPr="00A22864">
              <w:rPr>
                <w:lang w:val="sr-Cyrl-CS"/>
              </w:rPr>
              <w:t xml:space="preserve"> одбрањена (само за дисертације</w:t>
            </w:r>
            <w:r>
              <w:t xml:space="preserve">-докторско уметничке пројекте </w:t>
            </w:r>
            <w:r w:rsidRPr="00A22864">
              <w:rPr>
                <w:lang w:val="sr-Cyrl-CS"/>
              </w:rPr>
              <w:t xml:space="preserve"> из ранијег периода)</w:t>
            </w:r>
          </w:p>
        </w:tc>
      </w:tr>
      <w:tr w:rsidR="00434B43" w:rsidRPr="00A22864" w14:paraId="0D9041AA" w14:textId="77777777" w:rsidTr="00494424">
        <w:trPr>
          <w:trHeight w:val="227"/>
          <w:jc w:val="center"/>
        </w:trPr>
        <w:tc>
          <w:tcPr>
            <w:tcW w:w="5000" w:type="pct"/>
            <w:gridSpan w:val="13"/>
            <w:vAlign w:val="center"/>
          </w:tcPr>
          <w:p w14:paraId="1CF5677F" w14:textId="77777777" w:rsidR="00434B43" w:rsidRPr="00FA083F" w:rsidRDefault="00434B43" w:rsidP="00434B43">
            <w:pPr>
              <w:spacing w:after="60"/>
              <w:jc w:val="both"/>
              <w:rPr>
                <w:b/>
              </w:rPr>
            </w:pPr>
            <w:r w:rsidRPr="00DE2909">
              <w:rPr>
                <w:b/>
                <w:lang w:val="sr-Cyrl-CS"/>
              </w:rPr>
              <w:t>Категоризација публикације</w:t>
            </w:r>
            <w:r>
              <w:rPr>
                <w:b/>
              </w:rPr>
              <w:t xml:space="preserve"> научних радова </w:t>
            </w:r>
            <w:r w:rsidRPr="00DE2909">
              <w:rPr>
                <w:b/>
              </w:rPr>
              <w:t xml:space="preserve"> из области датог студијског програма </w:t>
            </w:r>
            <w:r w:rsidRPr="00DE2909">
              <w:rPr>
                <w:b/>
                <w:lang w:val="sr-Cyrl-CS"/>
              </w:rPr>
              <w:t xml:space="preserve"> према класификацији ре</w:t>
            </w:r>
            <w:r>
              <w:rPr>
                <w:b/>
              </w:rPr>
              <w:t>с</w:t>
            </w:r>
            <w:r w:rsidRPr="00DE2909">
              <w:rPr>
                <w:b/>
                <w:lang w:val="sr-Cyrl-CS"/>
              </w:rPr>
              <w:t>орног Министарства просвете, науке и технолошког развоја  а у складу са допунским захтевевима  стандарда за дато</w:t>
            </w:r>
            <w:r>
              <w:rPr>
                <w:b/>
                <w:lang w:val="sr-Cyrl-CS"/>
              </w:rPr>
              <w:t xml:space="preserve"> поље</w:t>
            </w:r>
          </w:p>
        </w:tc>
      </w:tr>
      <w:tr w:rsidR="00434B43" w:rsidRPr="00A22864" w14:paraId="60B2F5BE" w14:textId="77777777" w:rsidTr="00D6036B">
        <w:trPr>
          <w:trHeight w:val="227"/>
          <w:jc w:val="center"/>
        </w:trPr>
        <w:tc>
          <w:tcPr>
            <w:tcW w:w="307" w:type="pct"/>
            <w:vAlign w:val="center"/>
          </w:tcPr>
          <w:p w14:paraId="7233D805" w14:textId="77777777" w:rsidR="00434B43" w:rsidRPr="00975A90" w:rsidRDefault="00434B43" w:rsidP="00434B43">
            <w:pPr>
              <w:spacing w:line="276" w:lineRule="auto"/>
              <w:ind w:left="-23"/>
              <w:jc w:val="center"/>
              <w:rPr>
                <w:b/>
              </w:rPr>
            </w:pPr>
            <w:r w:rsidRPr="00975A90">
              <w:rPr>
                <w:b/>
              </w:rPr>
              <w:t>Р.б.</w:t>
            </w:r>
          </w:p>
        </w:tc>
        <w:tc>
          <w:tcPr>
            <w:tcW w:w="3494" w:type="pct"/>
            <w:gridSpan w:val="9"/>
          </w:tcPr>
          <w:p w14:paraId="49F319AC" w14:textId="77777777" w:rsidR="00434B43" w:rsidRPr="00975A90" w:rsidRDefault="00434B43" w:rsidP="00434B43">
            <w:pPr>
              <w:pStyle w:val="TableParagraph"/>
              <w:spacing w:line="276" w:lineRule="auto"/>
              <w:ind w:left="65" w:right="-15"/>
              <w:jc w:val="center"/>
              <w:rPr>
                <w:b/>
                <w:sz w:val="20"/>
                <w:szCs w:val="20"/>
              </w:rPr>
            </w:pPr>
            <w:r w:rsidRPr="00975A90">
              <w:rPr>
                <w:b/>
                <w:sz w:val="20"/>
                <w:szCs w:val="20"/>
              </w:rPr>
              <w:t>Публикација</w:t>
            </w:r>
          </w:p>
        </w:tc>
        <w:tc>
          <w:tcPr>
            <w:tcW w:w="441" w:type="pct"/>
          </w:tcPr>
          <w:p w14:paraId="0E2CBE05" w14:textId="77777777" w:rsidR="00434B43" w:rsidRPr="00975A90" w:rsidRDefault="00434B43" w:rsidP="00434B43">
            <w:pPr>
              <w:pStyle w:val="TableParagraph"/>
              <w:spacing w:before="8" w:line="276" w:lineRule="auto"/>
              <w:jc w:val="center"/>
              <w:rPr>
                <w:b/>
                <w:sz w:val="20"/>
                <w:szCs w:val="20"/>
              </w:rPr>
            </w:pPr>
            <w:r w:rsidRPr="00975A90">
              <w:rPr>
                <w:b/>
                <w:sz w:val="20"/>
                <w:szCs w:val="20"/>
              </w:rPr>
              <w:t>ISI</w:t>
            </w:r>
          </w:p>
        </w:tc>
        <w:tc>
          <w:tcPr>
            <w:tcW w:w="379" w:type="pct"/>
          </w:tcPr>
          <w:p w14:paraId="658273D2" w14:textId="77777777" w:rsidR="00434B43" w:rsidRPr="00975A90" w:rsidRDefault="00434B43" w:rsidP="00434B43">
            <w:pPr>
              <w:pStyle w:val="TableParagraph"/>
              <w:spacing w:before="8" w:line="276" w:lineRule="auto"/>
              <w:jc w:val="center"/>
              <w:rPr>
                <w:b/>
                <w:sz w:val="20"/>
                <w:szCs w:val="20"/>
              </w:rPr>
            </w:pPr>
            <w:r w:rsidRPr="00975A90">
              <w:rPr>
                <w:b/>
                <w:sz w:val="20"/>
                <w:szCs w:val="20"/>
              </w:rPr>
              <w:t>M</w:t>
            </w:r>
          </w:p>
        </w:tc>
        <w:tc>
          <w:tcPr>
            <w:tcW w:w="379" w:type="pct"/>
          </w:tcPr>
          <w:p w14:paraId="58A22D5C" w14:textId="77777777" w:rsidR="00434B43" w:rsidRPr="00975A90" w:rsidRDefault="00434B43" w:rsidP="00434B43">
            <w:pPr>
              <w:pStyle w:val="TableParagraph"/>
              <w:spacing w:before="8" w:line="276" w:lineRule="auto"/>
              <w:jc w:val="center"/>
              <w:rPr>
                <w:b/>
                <w:sz w:val="20"/>
                <w:szCs w:val="20"/>
              </w:rPr>
            </w:pPr>
            <w:r w:rsidRPr="00975A90">
              <w:rPr>
                <w:b/>
                <w:sz w:val="20"/>
                <w:szCs w:val="20"/>
              </w:rPr>
              <w:t>IF</w:t>
            </w:r>
          </w:p>
        </w:tc>
      </w:tr>
      <w:tr w:rsidR="00434B43" w:rsidRPr="00A22864" w14:paraId="174F171D" w14:textId="77777777" w:rsidTr="00D6036B">
        <w:trPr>
          <w:trHeight w:val="227"/>
          <w:jc w:val="center"/>
        </w:trPr>
        <w:tc>
          <w:tcPr>
            <w:tcW w:w="307" w:type="pct"/>
            <w:vAlign w:val="center"/>
          </w:tcPr>
          <w:p w14:paraId="4C8A5343" w14:textId="6CF3C7AF" w:rsidR="00434B43" w:rsidRPr="000022A6" w:rsidRDefault="00434B43" w:rsidP="00434B43">
            <w:pPr>
              <w:spacing w:line="276" w:lineRule="auto"/>
              <w:ind w:left="-23"/>
              <w:jc w:val="center"/>
            </w:pPr>
            <w:r>
              <w:t>1.</w:t>
            </w:r>
          </w:p>
        </w:tc>
        <w:tc>
          <w:tcPr>
            <w:tcW w:w="3494" w:type="pct"/>
            <w:gridSpan w:val="9"/>
          </w:tcPr>
          <w:p w14:paraId="71A917FD" w14:textId="0CD56A34" w:rsidR="00434B43" w:rsidRPr="000022A6" w:rsidRDefault="00434B43" w:rsidP="00434B43">
            <w:pPr>
              <w:pStyle w:val="TableParagraph"/>
              <w:spacing w:line="276" w:lineRule="auto"/>
              <w:ind w:left="65" w:right="-15"/>
              <w:jc w:val="both"/>
              <w:rPr>
                <w:sz w:val="20"/>
                <w:szCs w:val="20"/>
              </w:rPr>
            </w:pPr>
            <w:r w:rsidRPr="008353F0">
              <w:rPr>
                <w:b/>
                <w:bCs/>
                <w:sz w:val="20"/>
                <w:szCs w:val="20"/>
                <w:lang w:val="sr-Latn-CS"/>
              </w:rPr>
              <w:t>Kovacevic T</w:t>
            </w:r>
            <w:r w:rsidRPr="008353F0">
              <w:rPr>
                <w:sz w:val="20"/>
                <w:szCs w:val="20"/>
                <w:lang w:val="sr-Latn-CS"/>
              </w:rPr>
              <w:t>, Zaric B, Djekic Malbasa J, Bokan D, Nikolin B, Bursac D, Simurdic P, Stojsic V, Stojanovic G, Maric D. Attitudes toward Death among Health Care Professionals in the Balkan Region. Curr Oncol. 2024 Jun 16;31(6):3350-</w:t>
            </w:r>
            <w:r>
              <w:rPr>
                <w:sz w:val="20"/>
                <w:szCs w:val="20"/>
                <w:lang w:val="sr-Latn-CS"/>
              </w:rPr>
              <w:t>6</w:t>
            </w:r>
            <w:r w:rsidRPr="008353F0">
              <w:rPr>
                <w:sz w:val="20"/>
                <w:szCs w:val="20"/>
                <w:lang w:val="sr-Latn-CS"/>
              </w:rPr>
              <w:t>0. doi: 10.3390/curroncol31060255</w:t>
            </w:r>
          </w:p>
        </w:tc>
        <w:tc>
          <w:tcPr>
            <w:tcW w:w="441" w:type="pct"/>
          </w:tcPr>
          <w:p w14:paraId="7F0A3F44" w14:textId="77777777" w:rsidR="00434B43" w:rsidRPr="000022A6" w:rsidRDefault="00434B43" w:rsidP="00434B43">
            <w:pPr>
              <w:pStyle w:val="TableParagraph"/>
              <w:spacing w:before="8" w:line="276" w:lineRule="auto"/>
              <w:jc w:val="center"/>
              <w:rPr>
                <w:sz w:val="20"/>
                <w:szCs w:val="20"/>
              </w:rPr>
            </w:pPr>
          </w:p>
        </w:tc>
        <w:tc>
          <w:tcPr>
            <w:tcW w:w="379" w:type="pct"/>
          </w:tcPr>
          <w:p w14:paraId="472A055F" w14:textId="08F8DF6F" w:rsidR="00434B43" w:rsidRPr="00A12307" w:rsidRDefault="00434B43" w:rsidP="00434B43">
            <w:pPr>
              <w:pStyle w:val="TableParagraph"/>
              <w:spacing w:before="8" w:line="276" w:lineRule="auto"/>
              <w:jc w:val="center"/>
              <w:rPr>
                <w:sz w:val="20"/>
                <w:szCs w:val="20"/>
                <w:lang w:val="sr-Cyrl-RS"/>
              </w:rPr>
            </w:pPr>
            <w:r>
              <w:rPr>
                <w:sz w:val="20"/>
                <w:szCs w:val="20"/>
                <w:lang w:val="sr-Cyrl-RS"/>
              </w:rPr>
              <w:t>22</w:t>
            </w:r>
          </w:p>
        </w:tc>
        <w:tc>
          <w:tcPr>
            <w:tcW w:w="379" w:type="pct"/>
          </w:tcPr>
          <w:p w14:paraId="321CD61E" w14:textId="70B99EE2" w:rsidR="00434B43" w:rsidRPr="00A12307" w:rsidRDefault="00434B43" w:rsidP="00434B43">
            <w:pPr>
              <w:pStyle w:val="TableParagraph"/>
              <w:spacing w:before="8" w:line="276" w:lineRule="auto"/>
              <w:jc w:val="center"/>
              <w:rPr>
                <w:sz w:val="20"/>
                <w:szCs w:val="20"/>
                <w:lang w:val="sr-Cyrl-RS"/>
              </w:rPr>
            </w:pPr>
            <w:r>
              <w:rPr>
                <w:sz w:val="20"/>
                <w:szCs w:val="20"/>
                <w:lang w:val="sr-Cyrl-RS"/>
              </w:rPr>
              <w:t>3.4</w:t>
            </w:r>
          </w:p>
        </w:tc>
      </w:tr>
      <w:tr w:rsidR="00434B43" w:rsidRPr="00A22864" w14:paraId="089E917B" w14:textId="77777777" w:rsidTr="00D6036B">
        <w:trPr>
          <w:trHeight w:val="227"/>
          <w:jc w:val="center"/>
        </w:trPr>
        <w:tc>
          <w:tcPr>
            <w:tcW w:w="307" w:type="pct"/>
            <w:vAlign w:val="center"/>
          </w:tcPr>
          <w:p w14:paraId="503681AF" w14:textId="4874E093" w:rsidR="00434B43" w:rsidRPr="000022A6" w:rsidRDefault="00434B43" w:rsidP="00434B43">
            <w:pPr>
              <w:spacing w:line="276" w:lineRule="auto"/>
              <w:ind w:left="-23"/>
              <w:jc w:val="center"/>
            </w:pPr>
            <w:r>
              <w:t>2.</w:t>
            </w:r>
          </w:p>
        </w:tc>
        <w:tc>
          <w:tcPr>
            <w:tcW w:w="3494" w:type="pct"/>
            <w:gridSpan w:val="9"/>
          </w:tcPr>
          <w:p w14:paraId="561A01B8" w14:textId="0D68F17B" w:rsidR="00434B43" w:rsidRPr="000022A6" w:rsidRDefault="00434B43" w:rsidP="00434B43">
            <w:pPr>
              <w:pStyle w:val="TableParagraph"/>
              <w:spacing w:line="276" w:lineRule="auto"/>
              <w:ind w:left="65" w:right="-15"/>
              <w:jc w:val="both"/>
              <w:rPr>
                <w:sz w:val="20"/>
                <w:szCs w:val="20"/>
              </w:rPr>
            </w:pPr>
            <w:r>
              <w:rPr>
                <w:sz w:val="20"/>
                <w:szCs w:val="20"/>
              </w:rPr>
              <w:t>Đ</w:t>
            </w:r>
            <w:r w:rsidRPr="005A652D">
              <w:rPr>
                <w:sz w:val="20"/>
                <w:szCs w:val="20"/>
              </w:rPr>
              <w:t>eki</w:t>
            </w:r>
            <w:r>
              <w:rPr>
                <w:sz w:val="20"/>
                <w:szCs w:val="20"/>
              </w:rPr>
              <w:t>ć</w:t>
            </w:r>
            <w:r w:rsidRPr="005A652D">
              <w:rPr>
                <w:sz w:val="20"/>
                <w:szCs w:val="20"/>
              </w:rPr>
              <w:t xml:space="preserve"> Malba</w:t>
            </w:r>
            <w:r>
              <w:rPr>
                <w:sz w:val="20"/>
                <w:szCs w:val="20"/>
              </w:rPr>
              <w:t>š</w:t>
            </w:r>
            <w:r w:rsidRPr="005A652D">
              <w:rPr>
                <w:sz w:val="20"/>
                <w:szCs w:val="20"/>
              </w:rPr>
              <w:t xml:space="preserve">a J, </w:t>
            </w:r>
            <w:r w:rsidRPr="00A12307">
              <w:rPr>
                <w:b/>
                <w:bCs/>
                <w:sz w:val="20"/>
                <w:szCs w:val="20"/>
              </w:rPr>
              <w:t>Kovačević T</w:t>
            </w:r>
            <w:r w:rsidRPr="00F515B5">
              <w:rPr>
                <w:sz w:val="20"/>
                <w:szCs w:val="20"/>
              </w:rPr>
              <w:t>, Zarić B</w:t>
            </w:r>
            <w:r w:rsidRPr="005A652D">
              <w:rPr>
                <w:sz w:val="20"/>
                <w:szCs w:val="20"/>
              </w:rPr>
              <w:t>, Dugand</w:t>
            </w:r>
            <w:r>
              <w:rPr>
                <w:sz w:val="20"/>
                <w:szCs w:val="20"/>
              </w:rPr>
              <w:t>ž</w:t>
            </w:r>
            <w:r w:rsidRPr="005A652D">
              <w:rPr>
                <w:sz w:val="20"/>
                <w:szCs w:val="20"/>
              </w:rPr>
              <w:t>ija T, Nikolin B, Radovanovi</w:t>
            </w:r>
            <w:r>
              <w:rPr>
                <w:sz w:val="20"/>
                <w:szCs w:val="20"/>
              </w:rPr>
              <w:t>ć</w:t>
            </w:r>
            <w:r w:rsidRPr="005A652D">
              <w:rPr>
                <w:sz w:val="20"/>
                <w:szCs w:val="20"/>
              </w:rPr>
              <w:t xml:space="preserve"> D, </w:t>
            </w:r>
            <w:r>
              <w:rPr>
                <w:sz w:val="20"/>
                <w:szCs w:val="20"/>
              </w:rPr>
              <w:t>et al</w:t>
            </w:r>
            <w:r w:rsidRPr="005A652D">
              <w:rPr>
                <w:sz w:val="20"/>
                <w:szCs w:val="20"/>
              </w:rPr>
              <w:t xml:space="preserve">. </w:t>
            </w:r>
            <w:r w:rsidRPr="00F515B5">
              <w:rPr>
                <w:sz w:val="20"/>
                <w:szCs w:val="20"/>
              </w:rPr>
              <w:t>Decade of lung cancer in Serbia: tobacco abuse and gender differences</w:t>
            </w:r>
            <w:r w:rsidRPr="005A652D">
              <w:rPr>
                <w:sz w:val="20"/>
                <w:szCs w:val="20"/>
              </w:rPr>
              <w:t>. Eur Rev Med Pharmacol Sci. 2023 Apr;27(7):3105-16.</w:t>
            </w:r>
          </w:p>
        </w:tc>
        <w:tc>
          <w:tcPr>
            <w:tcW w:w="441" w:type="pct"/>
            <w:vAlign w:val="center"/>
          </w:tcPr>
          <w:p w14:paraId="3EC0E64E" w14:textId="5BB6BA6A" w:rsidR="00434B43" w:rsidRPr="00571BE9" w:rsidRDefault="00434B43" w:rsidP="00434B43">
            <w:pPr>
              <w:pStyle w:val="TableParagraph"/>
              <w:spacing w:before="8" w:line="276" w:lineRule="auto"/>
              <w:jc w:val="center"/>
              <w:rPr>
                <w:sz w:val="20"/>
                <w:szCs w:val="20"/>
              </w:rPr>
            </w:pPr>
          </w:p>
        </w:tc>
        <w:tc>
          <w:tcPr>
            <w:tcW w:w="379" w:type="pct"/>
            <w:vAlign w:val="center"/>
          </w:tcPr>
          <w:p w14:paraId="5D376E04" w14:textId="77777777" w:rsidR="00434B43" w:rsidRPr="00571BE9" w:rsidRDefault="00434B43" w:rsidP="00434B43">
            <w:pPr>
              <w:jc w:val="center"/>
            </w:pPr>
            <w:r w:rsidRPr="00571BE9">
              <w:t>22</w:t>
            </w:r>
          </w:p>
          <w:p w14:paraId="09501ED9" w14:textId="3284726F" w:rsidR="00434B43" w:rsidRPr="00571BE9" w:rsidRDefault="00434B43" w:rsidP="00434B43">
            <w:pPr>
              <w:pStyle w:val="TableParagraph"/>
              <w:spacing w:before="8" w:line="276" w:lineRule="auto"/>
              <w:jc w:val="center"/>
              <w:rPr>
                <w:sz w:val="20"/>
                <w:szCs w:val="20"/>
              </w:rPr>
            </w:pPr>
            <w:r w:rsidRPr="00571BE9">
              <w:rPr>
                <w:sz w:val="20"/>
                <w:szCs w:val="20"/>
              </w:rPr>
              <w:t>(2022)</w:t>
            </w:r>
          </w:p>
        </w:tc>
        <w:tc>
          <w:tcPr>
            <w:tcW w:w="379" w:type="pct"/>
            <w:vAlign w:val="center"/>
          </w:tcPr>
          <w:p w14:paraId="1E26E424" w14:textId="77777777" w:rsidR="00434B43" w:rsidRPr="00571BE9" w:rsidRDefault="00434B43" w:rsidP="00434B43">
            <w:pPr>
              <w:jc w:val="center"/>
            </w:pPr>
            <w:r w:rsidRPr="00571BE9">
              <w:t>3.3</w:t>
            </w:r>
          </w:p>
          <w:p w14:paraId="61BC1C82" w14:textId="550B0E6C" w:rsidR="00434B43" w:rsidRPr="00571BE9" w:rsidRDefault="00434B43" w:rsidP="00434B43">
            <w:pPr>
              <w:pStyle w:val="TableParagraph"/>
              <w:spacing w:before="8" w:line="276" w:lineRule="auto"/>
              <w:jc w:val="center"/>
              <w:rPr>
                <w:sz w:val="20"/>
                <w:szCs w:val="20"/>
              </w:rPr>
            </w:pPr>
            <w:r w:rsidRPr="00571BE9">
              <w:rPr>
                <w:sz w:val="20"/>
                <w:szCs w:val="20"/>
              </w:rPr>
              <w:t>(2022)</w:t>
            </w:r>
          </w:p>
        </w:tc>
      </w:tr>
      <w:tr w:rsidR="00434B43" w:rsidRPr="00A22864" w14:paraId="30C0D4BC" w14:textId="77777777" w:rsidTr="00D6036B">
        <w:trPr>
          <w:trHeight w:val="227"/>
          <w:jc w:val="center"/>
        </w:trPr>
        <w:tc>
          <w:tcPr>
            <w:tcW w:w="307" w:type="pct"/>
            <w:vAlign w:val="center"/>
          </w:tcPr>
          <w:p w14:paraId="463FBE86" w14:textId="72CA07FE" w:rsidR="00434B43" w:rsidRPr="000022A6" w:rsidRDefault="00434B43" w:rsidP="00434B43">
            <w:pPr>
              <w:spacing w:line="276" w:lineRule="auto"/>
              <w:ind w:left="-23"/>
              <w:jc w:val="center"/>
            </w:pPr>
            <w:r>
              <w:t>3.</w:t>
            </w:r>
          </w:p>
        </w:tc>
        <w:tc>
          <w:tcPr>
            <w:tcW w:w="3494" w:type="pct"/>
            <w:gridSpan w:val="9"/>
          </w:tcPr>
          <w:p w14:paraId="167D0648" w14:textId="1870BCCF" w:rsidR="00434B43" w:rsidRPr="00820933" w:rsidRDefault="00434B43" w:rsidP="00434B43">
            <w:pPr>
              <w:pStyle w:val="TableParagraph"/>
              <w:spacing w:line="276" w:lineRule="auto"/>
              <w:ind w:left="65" w:right="-15"/>
              <w:jc w:val="both"/>
              <w:rPr>
                <w:sz w:val="20"/>
                <w:szCs w:val="20"/>
              </w:rPr>
            </w:pPr>
            <w:r w:rsidRPr="00820933">
              <w:rPr>
                <w:sz w:val="20"/>
                <w:szCs w:val="20"/>
              </w:rPr>
              <w:t xml:space="preserve">Cavic M, </w:t>
            </w:r>
            <w:r w:rsidRPr="00820933">
              <w:rPr>
                <w:b/>
                <w:bCs/>
                <w:sz w:val="20"/>
                <w:szCs w:val="20"/>
              </w:rPr>
              <w:t>Kovacevic T</w:t>
            </w:r>
            <w:r w:rsidRPr="00820933">
              <w:rPr>
                <w:sz w:val="20"/>
                <w:szCs w:val="20"/>
              </w:rPr>
              <w:t>, Zaric B, Stojiljkovic D, Korda NJ, Rancic M, Jankovic R, Radosavljevic D, Stojanovic G, Spasic J. Lung Cancer in Serbia. J Thorac Oncol. 2022 Jul;17(7):867-72. doi: 10.1016/j.jtho.2022.04.010</w:t>
            </w:r>
          </w:p>
        </w:tc>
        <w:tc>
          <w:tcPr>
            <w:tcW w:w="441" w:type="pct"/>
          </w:tcPr>
          <w:p w14:paraId="5566A556" w14:textId="77777777" w:rsidR="00434B43" w:rsidRPr="000022A6" w:rsidRDefault="00434B43" w:rsidP="00434B43">
            <w:pPr>
              <w:pStyle w:val="TableParagraph"/>
              <w:spacing w:before="8" w:line="276" w:lineRule="auto"/>
              <w:jc w:val="center"/>
              <w:rPr>
                <w:sz w:val="20"/>
                <w:szCs w:val="20"/>
              </w:rPr>
            </w:pPr>
          </w:p>
        </w:tc>
        <w:tc>
          <w:tcPr>
            <w:tcW w:w="379" w:type="pct"/>
          </w:tcPr>
          <w:p w14:paraId="5DE1C263" w14:textId="3664F3B3" w:rsidR="00434B43" w:rsidRPr="000022A6" w:rsidRDefault="00434B43" w:rsidP="00434B43">
            <w:pPr>
              <w:pStyle w:val="TableParagraph"/>
              <w:spacing w:before="8" w:line="276" w:lineRule="auto"/>
              <w:jc w:val="center"/>
              <w:rPr>
                <w:sz w:val="20"/>
                <w:szCs w:val="20"/>
              </w:rPr>
            </w:pPr>
            <w:r>
              <w:rPr>
                <w:sz w:val="20"/>
                <w:szCs w:val="20"/>
              </w:rPr>
              <w:t>21a+</w:t>
            </w:r>
          </w:p>
        </w:tc>
        <w:tc>
          <w:tcPr>
            <w:tcW w:w="379" w:type="pct"/>
          </w:tcPr>
          <w:p w14:paraId="38EB2A41" w14:textId="7B23757A" w:rsidR="00434B43" w:rsidRPr="000022A6" w:rsidRDefault="00434B43" w:rsidP="00434B43">
            <w:pPr>
              <w:pStyle w:val="TableParagraph"/>
              <w:spacing w:before="8" w:line="276" w:lineRule="auto"/>
              <w:jc w:val="center"/>
              <w:rPr>
                <w:sz w:val="20"/>
                <w:szCs w:val="20"/>
              </w:rPr>
            </w:pPr>
            <w:r w:rsidRPr="00820933">
              <w:rPr>
                <w:sz w:val="20"/>
                <w:szCs w:val="20"/>
                <w:lang w:val="sr-Latn-CS"/>
              </w:rPr>
              <w:t>20.4</w:t>
            </w:r>
          </w:p>
        </w:tc>
      </w:tr>
      <w:tr w:rsidR="00434B43" w:rsidRPr="00A22864" w14:paraId="4517DB40" w14:textId="77777777" w:rsidTr="00D6036B">
        <w:trPr>
          <w:trHeight w:val="227"/>
          <w:jc w:val="center"/>
        </w:trPr>
        <w:tc>
          <w:tcPr>
            <w:tcW w:w="307" w:type="pct"/>
            <w:vAlign w:val="center"/>
          </w:tcPr>
          <w:p w14:paraId="70ADF0F5" w14:textId="101E9CEF" w:rsidR="00434B43" w:rsidRPr="000022A6" w:rsidRDefault="00434B43" w:rsidP="00434B43">
            <w:pPr>
              <w:spacing w:line="276" w:lineRule="auto"/>
              <w:ind w:left="-23"/>
              <w:jc w:val="center"/>
            </w:pPr>
            <w:r>
              <w:t>4.</w:t>
            </w:r>
          </w:p>
        </w:tc>
        <w:tc>
          <w:tcPr>
            <w:tcW w:w="3494" w:type="pct"/>
            <w:gridSpan w:val="9"/>
          </w:tcPr>
          <w:p w14:paraId="5C01DDD7" w14:textId="1F29A744" w:rsidR="00434B43" w:rsidRPr="00820933" w:rsidRDefault="00434B43" w:rsidP="00434B43">
            <w:pPr>
              <w:pStyle w:val="TableParagraph"/>
              <w:ind w:left="65" w:right="-15"/>
              <w:jc w:val="both"/>
              <w:rPr>
                <w:sz w:val="20"/>
                <w:szCs w:val="20"/>
              </w:rPr>
            </w:pPr>
            <w:r w:rsidRPr="00820933">
              <w:rPr>
                <w:sz w:val="20"/>
                <w:szCs w:val="20"/>
              </w:rPr>
              <w:t xml:space="preserve">Spasic J, Cavic M, Stanic N, Zaric B, </w:t>
            </w:r>
            <w:r w:rsidRPr="00912C12">
              <w:rPr>
                <w:b/>
                <w:bCs/>
                <w:sz w:val="20"/>
                <w:szCs w:val="20"/>
              </w:rPr>
              <w:t>Kovacevic T</w:t>
            </w:r>
            <w:r w:rsidRPr="00820933">
              <w:rPr>
                <w:sz w:val="20"/>
                <w:szCs w:val="20"/>
              </w:rPr>
              <w:t>, Radosavljevic D, Nagorni-Obradovic L. Low-Cost Genetic and Clinical Predictors of Response and Toxicity of Platinum-Based Chemotherapy in Advanced Non-Small Cell Lung Cancer. Dose Response. 2022 Jun 28;20(2):15593258221111666. doi: 10.1177/15593258221111666.</w:t>
            </w:r>
          </w:p>
        </w:tc>
        <w:tc>
          <w:tcPr>
            <w:tcW w:w="441" w:type="pct"/>
          </w:tcPr>
          <w:p w14:paraId="4EA85E3E" w14:textId="77777777" w:rsidR="00434B43" w:rsidRPr="000022A6" w:rsidRDefault="00434B43" w:rsidP="00434B43">
            <w:pPr>
              <w:pStyle w:val="TableParagraph"/>
              <w:spacing w:before="8" w:line="276" w:lineRule="auto"/>
              <w:jc w:val="center"/>
              <w:rPr>
                <w:sz w:val="20"/>
                <w:szCs w:val="20"/>
              </w:rPr>
            </w:pPr>
          </w:p>
        </w:tc>
        <w:tc>
          <w:tcPr>
            <w:tcW w:w="379" w:type="pct"/>
          </w:tcPr>
          <w:p w14:paraId="2C3441E6" w14:textId="3247FD19" w:rsidR="00434B43" w:rsidRPr="000022A6" w:rsidRDefault="00434B43" w:rsidP="00434B43">
            <w:pPr>
              <w:pStyle w:val="TableParagraph"/>
              <w:spacing w:before="8" w:line="276" w:lineRule="auto"/>
              <w:jc w:val="center"/>
              <w:rPr>
                <w:sz w:val="20"/>
                <w:szCs w:val="20"/>
              </w:rPr>
            </w:pPr>
            <w:r>
              <w:rPr>
                <w:sz w:val="20"/>
                <w:szCs w:val="20"/>
              </w:rPr>
              <w:t>22</w:t>
            </w:r>
          </w:p>
        </w:tc>
        <w:tc>
          <w:tcPr>
            <w:tcW w:w="379" w:type="pct"/>
          </w:tcPr>
          <w:p w14:paraId="6BD0D212" w14:textId="2B95CBF3" w:rsidR="00434B43" w:rsidRPr="000022A6" w:rsidRDefault="00434B43" w:rsidP="00434B43">
            <w:pPr>
              <w:pStyle w:val="TableParagraph"/>
              <w:spacing w:before="8" w:line="276" w:lineRule="auto"/>
              <w:jc w:val="center"/>
              <w:rPr>
                <w:sz w:val="20"/>
                <w:szCs w:val="20"/>
              </w:rPr>
            </w:pPr>
            <w:r w:rsidRPr="00D6036B">
              <w:rPr>
                <w:sz w:val="20"/>
                <w:szCs w:val="20"/>
                <w:lang w:val="sr-Latn-CS"/>
              </w:rPr>
              <w:t>3.210</w:t>
            </w:r>
          </w:p>
        </w:tc>
      </w:tr>
      <w:tr w:rsidR="00434B43" w:rsidRPr="00A22864" w14:paraId="35FF91C2" w14:textId="77777777" w:rsidTr="00D6036B">
        <w:trPr>
          <w:trHeight w:val="227"/>
          <w:jc w:val="center"/>
        </w:trPr>
        <w:tc>
          <w:tcPr>
            <w:tcW w:w="307" w:type="pct"/>
            <w:vAlign w:val="center"/>
          </w:tcPr>
          <w:p w14:paraId="3F42F081" w14:textId="534B79BD" w:rsidR="00434B43" w:rsidRPr="000022A6" w:rsidRDefault="00434B43" w:rsidP="00434B43">
            <w:pPr>
              <w:spacing w:line="276" w:lineRule="auto"/>
              <w:ind w:left="-23"/>
              <w:jc w:val="center"/>
            </w:pPr>
            <w:r>
              <w:t>5.</w:t>
            </w:r>
          </w:p>
        </w:tc>
        <w:tc>
          <w:tcPr>
            <w:tcW w:w="3494" w:type="pct"/>
            <w:gridSpan w:val="9"/>
          </w:tcPr>
          <w:p w14:paraId="06115EEE" w14:textId="7559345F" w:rsidR="00434B43" w:rsidRPr="000022A6" w:rsidRDefault="00434B43" w:rsidP="00434B43">
            <w:pPr>
              <w:pStyle w:val="TableParagraph"/>
              <w:spacing w:line="276" w:lineRule="auto"/>
              <w:ind w:left="65" w:right="-15"/>
              <w:jc w:val="both"/>
              <w:rPr>
                <w:sz w:val="20"/>
                <w:szCs w:val="20"/>
              </w:rPr>
            </w:pPr>
            <w:r w:rsidRPr="00D6036B">
              <w:rPr>
                <w:bCs/>
                <w:color w:val="000000"/>
                <w:sz w:val="20"/>
                <w:szCs w:val="20"/>
              </w:rPr>
              <w:t>Bursać D,</w:t>
            </w:r>
            <w:r w:rsidRPr="00E36085">
              <w:rPr>
                <w:color w:val="000000"/>
                <w:sz w:val="20"/>
                <w:szCs w:val="20"/>
              </w:rPr>
              <w:t xml:space="preserve"> Zarić B, Bokan D, </w:t>
            </w:r>
            <w:r w:rsidRPr="00D6036B">
              <w:rPr>
                <w:b/>
                <w:bCs/>
                <w:color w:val="000000"/>
                <w:sz w:val="20"/>
                <w:szCs w:val="20"/>
              </w:rPr>
              <w:t>Kovačević T</w:t>
            </w:r>
            <w:r w:rsidRPr="00E36085">
              <w:rPr>
                <w:color w:val="000000"/>
                <w:sz w:val="20"/>
                <w:szCs w:val="20"/>
              </w:rPr>
              <w:t xml:space="preserve">, Stojšić V, Petkov S, et al. </w:t>
            </w:r>
            <w:r w:rsidRPr="00D6036B">
              <w:rPr>
                <w:sz w:val="20"/>
                <w:szCs w:val="20"/>
              </w:rPr>
              <w:t xml:space="preserve">Mortality of </w:t>
            </w:r>
            <w:r w:rsidRPr="00D6036B">
              <w:rPr>
                <w:sz w:val="20"/>
                <w:szCs w:val="20"/>
              </w:rPr>
              <w:lastRenderedPageBreak/>
              <w:t>covid-19 pneumonia during anticancer treatment in lung cancer patients</w:t>
            </w:r>
            <w:r w:rsidRPr="00E36085">
              <w:rPr>
                <w:color w:val="000000"/>
                <w:sz w:val="20"/>
                <w:szCs w:val="20"/>
              </w:rPr>
              <w:t xml:space="preserve">. </w:t>
            </w:r>
            <w:r w:rsidRPr="00E36085">
              <w:rPr>
                <w:sz w:val="20"/>
                <w:szCs w:val="20"/>
              </w:rPr>
              <w:t>Vojnosanit Pregl. 2022;79(5):481-7.</w:t>
            </w:r>
          </w:p>
        </w:tc>
        <w:tc>
          <w:tcPr>
            <w:tcW w:w="441" w:type="pct"/>
          </w:tcPr>
          <w:p w14:paraId="637390AC" w14:textId="77777777" w:rsidR="00434B43" w:rsidRPr="000022A6" w:rsidRDefault="00434B43" w:rsidP="00434B43">
            <w:pPr>
              <w:pStyle w:val="TableParagraph"/>
              <w:spacing w:before="8" w:line="276" w:lineRule="auto"/>
              <w:jc w:val="both"/>
              <w:rPr>
                <w:sz w:val="20"/>
                <w:szCs w:val="20"/>
              </w:rPr>
            </w:pPr>
          </w:p>
        </w:tc>
        <w:tc>
          <w:tcPr>
            <w:tcW w:w="379" w:type="pct"/>
          </w:tcPr>
          <w:p w14:paraId="638209DF" w14:textId="6E2CCCF1" w:rsidR="00434B43" w:rsidRPr="000022A6" w:rsidRDefault="00434B43" w:rsidP="00434B43">
            <w:pPr>
              <w:pStyle w:val="TableParagraph"/>
              <w:spacing w:before="8" w:line="276" w:lineRule="auto"/>
              <w:jc w:val="both"/>
              <w:rPr>
                <w:sz w:val="20"/>
                <w:szCs w:val="20"/>
              </w:rPr>
            </w:pPr>
            <w:r>
              <w:rPr>
                <w:sz w:val="20"/>
                <w:szCs w:val="20"/>
              </w:rPr>
              <w:t xml:space="preserve">   23</w:t>
            </w:r>
          </w:p>
        </w:tc>
        <w:tc>
          <w:tcPr>
            <w:tcW w:w="379" w:type="pct"/>
          </w:tcPr>
          <w:p w14:paraId="0EC1A5BA" w14:textId="75322C1E" w:rsidR="00434B43" w:rsidRPr="000022A6" w:rsidRDefault="00434B43" w:rsidP="00434B43">
            <w:pPr>
              <w:pStyle w:val="TableParagraph"/>
              <w:spacing w:before="8" w:line="276" w:lineRule="auto"/>
              <w:jc w:val="both"/>
              <w:rPr>
                <w:sz w:val="20"/>
                <w:szCs w:val="20"/>
              </w:rPr>
            </w:pPr>
            <w:r w:rsidRPr="00D6036B">
              <w:rPr>
                <w:sz w:val="20"/>
                <w:szCs w:val="20"/>
                <w:lang w:val="sr-Latn-CS"/>
              </w:rPr>
              <w:t>0.378</w:t>
            </w:r>
          </w:p>
        </w:tc>
      </w:tr>
      <w:tr w:rsidR="00434B43" w:rsidRPr="00A22864" w14:paraId="21687393" w14:textId="77777777" w:rsidTr="00D6036B">
        <w:trPr>
          <w:trHeight w:val="227"/>
          <w:jc w:val="center"/>
        </w:trPr>
        <w:tc>
          <w:tcPr>
            <w:tcW w:w="307" w:type="pct"/>
            <w:vAlign w:val="center"/>
          </w:tcPr>
          <w:p w14:paraId="28879A5E" w14:textId="7F363A77" w:rsidR="00434B43" w:rsidRPr="000022A6" w:rsidRDefault="00434B43" w:rsidP="00434B43">
            <w:pPr>
              <w:spacing w:line="276" w:lineRule="auto"/>
              <w:ind w:left="-23"/>
              <w:jc w:val="center"/>
            </w:pPr>
            <w:r>
              <w:t>6.</w:t>
            </w:r>
          </w:p>
        </w:tc>
        <w:tc>
          <w:tcPr>
            <w:tcW w:w="3494" w:type="pct"/>
            <w:gridSpan w:val="9"/>
          </w:tcPr>
          <w:p w14:paraId="7539C849" w14:textId="7E991402" w:rsidR="00434B43" w:rsidRPr="000022A6" w:rsidRDefault="00434B43" w:rsidP="00434B43">
            <w:pPr>
              <w:pStyle w:val="TableParagraph"/>
              <w:ind w:left="65" w:right="-15"/>
              <w:jc w:val="both"/>
              <w:rPr>
                <w:sz w:val="20"/>
                <w:szCs w:val="20"/>
              </w:rPr>
            </w:pPr>
            <w:r w:rsidRPr="00FC6651">
              <w:rPr>
                <w:sz w:val="20"/>
                <w:szCs w:val="20"/>
                <w:lang w:val="sr-Latn-CS"/>
              </w:rPr>
              <w:t xml:space="preserve">Alvarez-Romero C, Martinez-Garcia A, Ternero Vega J, Díaz-Jimènez P, Jimènez-Juan C, Nieto-Martín MD, Román Villarán E, </w:t>
            </w:r>
            <w:r w:rsidRPr="00FC6651">
              <w:rPr>
                <w:b/>
                <w:bCs/>
                <w:sz w:val="20"/>
                <w:szCs w:val="20"/>
                <w:lang w:val="sr-Latn-CS"/>
              </w:rPr>
              <w:t>Kovacevic T</w:t>
            </w:r>
            <w:r w:rsidRPr="00FC6651">
              <w:rPr>
                <w:sz w:val="20"/>
                <w:szCs w:val="20"/>
                <w:lang w:val="sr-Latn-CS"/>
              </w:rPr>
              <w:t>, Bokan D, Hromis S, Djekic Malbasa J, Beslać S, Zaric B, Gencturk M, Sinaci AA, Ollero Baturone M, Parra Calderón CL. Predicting 30-Day Readmission Risk for Patients With Chronic Obstructive Pulmonary Disease Through a Federated Machine Learning Architecture on Findable, Accessible, Interoperable, and Reusable (FAIR) Data: Development and Validation Study. JMIR Med Inform. 2022 Jun 2;10(6):e35307. doi: 10.2196/35307</w:t>
            </w:r>
          </w:p>
        </w:tc>
        <w:tc>
          <w:tcPr>
            <w:tcW w:w="441" w:type="pct"/>
          </w:tcPr>
          <w:p w14:paraId="44C584F1" w14:textId="77777777" w:rsidR="00434B43" w:rsidRPr="000022A6" w:rsidRDefault="00434B43" w:rsidP="00434B43">
            <w:pPr>
              <w:pStyle w:val="TableParagraph"/>
              <w:spacing w:before="8" w:line="276" w:lineRule="auto"/>
              <w:jc w:val="both"/>
              <w:rPr>
                <w:sz w:val="20"/>
                <w:szCs w:val="20"/>
              </w:rPr>
            </w:pPr>
          </w:p>
        </w:tc>
        <w:tc>
          <w:tcPr>
            <w:tcW w:w="379" w:type="pct"/>
          </w:tcPr>
          <w:p w14:paraId="6889E518" w14:textId="6A50FD72" w:rsidR="00434B43" w:rsidRPr="000022A6"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0D26B7DE" w14:textId="6C37A28C" w:rsidR="00434B43" w:rsidRPr="000022A6" w:rsidRDefault="00434B43" w:rsidP="00434B43">
            <w:pPr>
              <w:pStyle w:val="TableParagraph"/>
              <w:spacing w:before="8" w:line="276" w:lineRule="auto"/>
              <w:jc w:val="both"/>
              <w:rPr>
                <w:sz w:val="20"/>
                <w:szCs w:val="20"/>
              </w:rPr>
            </w:pPr>
            <w:r w:rsidRPr="00FC6651">
              <w:rPr>
                <w:sz w:val="20"/>
                <w:szCs w:val="20"/>
                <w:lang w:val="sr-Latn-CS"/>
              </w:rPr>
              <w:t>4.108</w:t>
            </w:r>
          </w:p>
        </w:tc>
      </w:tr>
      <w:tr w:rsidR="00434B43" w:rsidRPr="00A22864" w14:paraId="7EACC74B" w14:textId="77777777" w:rsidTr="00D6036B">
        <w:trPr>
          <w:trHeight w:val="227"/>
          <w:jc w:val="center"/>
        </w:trPr>
        <w:tc>
          <w:tcPr>
            <w:tcW w:w="307" w:type="pct"/>
            <w:vAlign w:val="center"/>
          </w:tcPr>
          <w:p w14:paraId="3F26A385" w14:textId="360D04D6" w:rsidR="00434B43" w:rsidRPr="000022A6" w:rsidRDefault="00434B43" w:rsidP="00434B43">
            <w:pPr>
              <w:spacing w:line="276" w:lineRule="auto"/>
              <w:ind w:left="-23"/>
              <w:jc w:val="center"/>
            </w:pPr>
            <w:r>
              <w:t>7.</w:t>
            </w:r>
          </w:p>
        </w:tc>
        <w:tc>
          <w:tcPr>
            <w:tcW w:w="3494" w:type="pct"/>
            <w:gridSpan w:val="9"/>
          </w:tcPr>
          <w:p w14:paraId="485C0C58" w14:textId="21728B65" w:rsidR="00434B43" w:rsidRPr="006F4947" w:rsidRDefault="00434B43" w:rsidP="00434B43">
            <w:pPr>
              <w:pStyle w:val="TableParagraph"/>
              <w:ind w:left="65" w:right="-15"/>
              <w:jc w:val="both"/>
              <w:rPr>
                <w:sz w:val="20"/>
                <w:szCs w:val="20"/>
              </w:rPr>
            </w:pPr>
            <w:r w:rsidRPr="006F4947">
              <w:rPr>
                <w:sz w:val="20"/>
                <w:szCs w:val="20"/>
              </w:rPr>
              <w:t xml:space="preserve">Alvarez-Romero C, Martinez-Garcia A, Ternero Vega J, Díaz-Jimènez P, Jimènez-Juan C, Nieto-Martín MD, Román Villarán E, </w:t>
            </w:r>
            <w:r w:rsidRPr="006F4947">
              <w:rPr>
                <w:b/>
                <w:bCs/>
                <w:sz w:val="20"/>
                <w:szCs w:val="20"/>
              </w:rPr>
              <w:t>Kovacevic T</w:t>
            </w:r>
            <w:r w:rsidRPr="006F4947">
              <w:rPr>
                <w:sz w:val="20"/>
                <w:szCs w:val="20"/>
              </w:rPr>
              <w:t>, Bokan D, Hromis S, Djekic Malbasa J, Beslać S, Zaric B, Gencturk M, Sinaci AA, Ollero Baturone M, Parra Calderón CL. Predicting 30-Day Readmission Risk for Patients With Chronic Obstructive Pulmonary Disease Through a Federated Machine Learning Architecture on Findable, Accessible, Interoperable, and Reusable (FAIR) Data: Development and Validation Study. JMIR Med Inform. 2022 Jun 2;10(6):e35307. doi: 10.2196/35307</w:t>
            </w:r>
          </w:p>
        </w:tc>
        <w:tc>
          <w:tcPr>
            <w:tcW w:w="441" w:type="pct"/>
          </w:tcPr>
          <w:p w14:paraId="0E525C72" w14:textId="77777777" w:rsidR="00434B43" w:rsidRPr="000022A6" w:rsidRDefault="00434B43" w:rsidP="00434B43">
            <w:pPr>
              <w:pStyle w:val="TableParagraph"/>
              <w:spacing w:before="8" w:line="276" w:lineRule="auto"/>
              <w:jc w:val="both"/>
              <w:rPr>
                <w:sz w:val="20"/>
                <w:szCs w:val="20"/>
              </w:rPr>
            </w:pPr>
          </w:p>
        </w:tc>
        <w:tc>
          <w:tcPr>
            <w:tcW w:w="379" w:type="pct"/>
          </w:tcPr>
          <w:p w14:paraId="08B1380A" w14:textId="1AA13075" w:rsidR="00434B43" w:rsidRPr="000022A6"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11BF9B12" w14:textId="0FAE7127" w:rsidR="00434B43" w:rsidRPr="000022A6" w:rsidRDefault="00434B43" w:rsidP="00434B43">
            <w:pPr>
              <w:pStyle w:val="TableParagraph"/>
              <w:spacing w:before="8" w:line="276" w:lineRule="auto"/>
              <w:jc w:val="both"/>
              <w:rPr>
                <w:sz w:val="20"/>
                <w:szCs w:val="20"/>
              </w:rPr>
            </w:pPr>
            <w:r w:rsidRPr="00EF02A6">
              <w:rPr>
                <w:sz w:val="20"/>
                <w:szCs w:val="20"/>
                <w:lang w:val="sr-Latn-CS"/>
              </w:rPr>
              <w:t>4.300</w:t>
            </w:r>
          </w:p>
        </w:tc>
      </w:tr>
      <w:tr w:rsidR="00434B43" w:rsidRPr="00A22864" w14:paraId="75E0CA0F" w14:textId="77777777" w:rsidTr="00D6036B">
        <w:trPr>
          <w:trHeight w:val="227"/>
          <w:jc w:val="center"/>
        </w:trPr>
        <w:tc>
          <w:tcPr>
            <w:tcW w:w="307" w:type="pct"/>
            <w:vAlign w:val="center"/>
          </w:tcPr>
          <w:p w14:paraId="45668C92" w14:textId="2AD96774" w:rsidR="00434B43" w:rsidRPr="000022A6" w:rsidRDefault="00434B43" w:rsidP="00434B43">
            <w:pPr>
              <w:spacing w:line="276" w:lineRule="auto"/>
              <w:ind w:left="-23"/>
              <w:jc w:val="center"/>
            </w:pPr>
            <w:r>
              <w:t>8.</w:t>
            </w:r>
          </w:p>
        </w:tc>
        <w:tc>
          <w:tcPr>
            <w:tcW w:w="3494" w:type="pct"/>
            <w:gridSpan w:val="9"/>
          </w:tcPr>
          <w:p w14:paraId="0A2B8E7D" w14:textId="69D7AB68" w:rsidR="00434B43" w:rsidRPr="00780C43" w:rsidRDefault="00434B43" w:rsidP="00434B43">
            <w:pPr>
              <w:pStyle w:val="TableParagraph"/>
              <w:ind w:left="65" w:right="-15"/>
              <w:jc w:val="both"/>
              <w:rPr>
                <w:sz w:val="20"/>
                <w:szCs w:val="20"/>
              </w:rPr>
            </w:pPr>
            <w:r w:rsidRPr="00780C43">
              <w:rPr>
                <w:sz w:val="20"/>
                <w:szCs w:val="20"/>
              </w:rPr>
              <w:t xml:space="preserve">Zarogoulidis P, Petridis D, Huang H, Bai C, Hohenforst-Schmidt W, Freitag L, Baka S, Drougas D, Vagionas A, Tsakiridis K, Turner JF, Hatzibougias D, Boukovinas I, Zaric B, </w:t>
            </w:r>
            <w:r w:rsidRPr="00780C43">
              <w:rPr>
                <w:b/>
                <w:bCs/>
                <w:sz w:val="20"/>
                <w:szCs w:val="20"/>
              </w:rPr>
              <w:t>Kovacevic T</w:t>
            </w:r>
            <w:r w:rsidRPr="00780C43">
              <w:rPr>
                <w:sz w:val="20"/>
                <w:szCs w:val="20"/>
              </w:rPr>
              <w:t>, Ioannidis A, Courcoutsakis N, Matthaios D, Sardeli C. Biopsy and re-biopsy for PD-L1 expression in NSCLC. association between PD-L1 and checkpoint inhibitor efficacy through treatment in NSCLC. A pilot study. Expert Rev Respir Med. 2021 Nov;15(11):1483-91. doi: 10.1080/17476348.2021.</w:t>
            </w:r>
          </w:p>
        </w:tc>
        <w:tc>
          <w:tcPr>
            <w:tcW w:w="441" w:type="pct"/>
          </w:tcPr>
          <w:p w14:paraId="440615E5" w14:textId="77777777" w:rsidR="00434B43" w:rsidRPr="000022A6" w:rsidRDefault="00434B43" w:rsidP="00434B43">
            <w:pPr>
              <w:pStyle w:val="TableParagraph"/>
              <w:spacing w:before="8" w:line="276" w:lineRule="auto"/>
              <w:jc w:val="both"/>
              <w:rPr>
                <w:sz w:val="20"/>
                <w:szCs w:val="20"/>
              </w:rPr>
            </w:pPr>
          </w:p>
        </w:tc>
        <w:tc>
          <w:tcPr>
            <w:tcW w:w="379" w:type="pct"/>
          </w:tcPr>
          <w:p w14:paraId="3882CCC8" w14:textId="2DF998FB" w:rsidR="00434B43" w:rsidRPr="000022A6"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0CF6DF4A" w14:textId="61CB5D15" w:rsidR="00434B43" w:rsidRPr="000022A6" w:rsidRDefault="00434B43" w:rsidP="00434B43">
            <w:pPr>
              <w:pStyle w:val="TableParagraph"/>
              <w:spacing w:before="8" w:line="276" w:lineRule="auto"/>
              <w:jc w:val="both"/>
              <w:rPr>
                <w:sz w:val="20"/>
                <w:szCs w:val="20"/>
              </w:rPr>
            </w:pPr>
            <w:r w:rsidRPr="00780C43">
              <w:rPr>
                <w:sz w:val="20"/>
                <w:szCs w:val="20"/>
                <w:lang w:val="sr-Latn-CS"/>
              </w:rPr>
              <w:t>4.300</w:t>
            </w:r>
          </w:p>
        </w:tc>
      </w:tr>
      <w:tr w:rsidR="00434B43" w:rsidRPr="00A22864" w14:paraId="3C1E7E2D" w14:textId="77777777" w:rsidTr="00D6036B">
        <w:trPr>
          <w:trHeight w:val="227"/>
          <w:jc w:val="center"/>
        </w:trPr>
        <w:tc>
          <w:tcPr>
            <w:tcW w:w="307" w:type="pct"/>
            <w:vAlign w:val="center"/>
          </w:tcPr>
          <w:p w14:paraId="4BB499C9" w14:textId="6D7F4174" w:rsidR="00434B43" w:rsidRPr="000022A6" w:rsidRDefault="00434B43" w:rsidP="00434B43">
            <w:pPr>
              <w:spacing w:line="276" w:lineRule="auto"/>
              <w:ind w:left="-23"/>
              <w:jc w:val="center"/>
            </w:pPr>
            <w:r>
              <w:t>9.</w:t>
            </w:r>
          </w:p>
        </w:tc>
        <w:tc>
          <w:tcPr>
            <w:tcW w:w="3494" w:type="pct"/>
            <w:gridSpan w:val="9"/>
          </w:tcPr>
          <w:p w14:paraId="6A7C8311" w14:textId="2123DDEC" w:rsidR="00434B43" w:rsidRPr="00874590" w:rsidRDefault="00434B43" w:rsidP="00434B43">
            <w:pPr>
              <w:pStyle w:val="TableParagraph"/>
              <w:ind w:left="65" w:right="-15"/>
              <w:jc w:val="both"/>
              <w:rPr>
                <w:sz w:val="20"/>
                <w:szCs w:val="20"/>
              </w:rPr>
            </w:pPr>
            <w:r w:rsidRPr="00874590">
              <w:rPr>
                <w:sz w:val="20"/>
                <w:szCs w:val="20"/>
              </w:rPr>
              <w:t xml:space="preserve">Zarogoulidis P, Hohenforst-Schmidt W, Huang H, Zhou J, Wang Q, Wang X, Xia Y, Ding Y, Bai C, Kosmidis C, Sapalidis K, Sardeli C, Tsakiridis K, Zaric B, </w:t>
            </w:r>
            <w:r w:rsidRPr="002E3A55">
              <w:rPr>
                <w:b/>
                <w:bCs/>
                <w:sz w:val="20"/>
                <w:szCs w:val="20"/>
              </w:rPr>
              <w:t>Kovacevic T</w:t>
            </w:r>
            <w:r w:rsidRPr="00874590">
              <w:rPr>
                <w:sz w:val="20"/>
                <w:szCs w:val="20"/>
              </w:rPr>
              <w:t>, Stojsic V, Sarcev T, Bursac D, Kukic B, Baka S, Athanasiou E, Hatzibougias D, Michalopoulou-Manoloutsiou E, Petanidis S, Drougas D, Drevelegas K, Paliouras D, Barbetakis N, Vagionas A, Freitag L, Lallas A, Boukovinas I, Petridis D, Ioannidis A, Matthaios D, Romanidis K, Karapantzou C. Intratumoral Treatment with Chemotherapy and Immunotherapy for NSCLC with EBUS-TBNA 19G. J Cancer. 2021 Mar 5;12(9):2560-69. doi: 10.7150/jca.55322.</w:t>
            </w:r>
          </w:p>
        </w:tc>
        <w:tc>
          <w:tcPr>
            <w:tcW w:w="441" w:type="pct"/>
          </w:tcPr>
          <w:p w14:paraId="45BD1537" w14:textId="77777777" w:rsidR="00434B43" w:rsidRPr="000022A6" w:rsidRDefault="00434B43" w:rsidP="00434B43">
            <w:pPr>
              <w:pStyle w:val="TableParagraph"/>
              <w:spacing w:before="8" w:line="276" w:lineRule="auto"/>
              <w:jc w:val="both"/>
              <w:rPr>
                <w:sz w:val="20"/>
                <w:szCs w:val="20"/>
              </w:rPr>
            </w:pPr>
          </w:p>
        </w:tc>
        <w:tc>
          <w:tcPr>
            <w:tcW w:w="379" w:type="pct"/>
          </w:tcPr>
          <w:p w14:paraId="01E3CA5B" w14:textId="7877EE0E" w:rsidR="00434B43" w:rsidRPr="000022A6"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1AD6C3B4" w14:textId="43133AB7" w:rsidR="00434B43" w:rsidRPr="000022A6" w:rsidRDefault="00434B43" w:rsidP="00434B43">
            <w:pPr>
              <w:pStyle w:val="TableParagraph"/>
              <w:spacing w:before="8" w:line="276" w:lineRule="auto"/>
              <w:jc w:val="both"/>
              <w:rPr>
                <w:sz w:val="20"/>
                <w:szCs w:val="20"/>
              </w:rPr>
            </w:pPr>
            <w:r w:rsidRPr="002E3A55">
              <w:rPr>
                <w:sz w:val="20"/>
                <w:szCs w:val="20"/>
                <w:lang w:val="sr-Latn-CS"/>
              </w:rPr>
              <w:t>4.505</w:t>
            </w:r>
          </w:p>
        </w:tc>
      </w:tr>
      <w:tr w:rsidR="00434B43" w:rsidRPr="00A22864" w14:paraId="08C17978" w14:textId="77777777" w:rsidTr="00D6036B">
        <w:trPr>
          <w:trHeight w:val="227"/>
          <w:jc w:val="center"/>
        </w:trPr>
        <w:tc>
          <w:tcPr>
            <w:tcW w:w="307" w:type="pct"/>
            <w:vAlign w:val="center"/>
          </w:tcPr>
          <w:p w14:paraId="78DB4E26" w14:textId="6268D2F3" w:rsidR="00434B43" w:rsidRPr="000022A6" w:rsidRDefault="00434B43" w:rsidP="00434B43">
            <w:pPr>
              <w:spacing w:line="276" w:lineRule="auto"/>
              <w:ind w:left="-23"/>
              <w:jc w:val="center"/>
            </w:pPr>
            <w:r>
              <w:t>10.</w:t>
            </w:r>
          </w:p>
        </w:tc>
        <w:tc>
          <w:tcPr>
            <w:tcW w:w="3494" w:type="pct"/>
            <w:gridSpan w:val="9"/>
          </w:tcPr>
          <w:p w14:paraId="105204CA" w14:textId="41778A68" w:rsidR="00434B43" w:rsidRPr="002E3A55" w:rsidRDefault="00434B43" w:rsidP="00434B43">
            <w:pPr>
              <w:pStyle w:val="TableParagraph"/>
              <w:ind w:left="65" w:right="-15"/>
              <w:jc w:val="both"/>
              <w:rPr>
                <w:sz w:val="20"/>
                <w:szCs w:val="20"/>
              </w:rPr>
            </w:pPr>
            <w:r w:rsidRPr="002E3A55">
              <w:rPr>
                <w:sz w:val="20"/>
                <w:szCs w:val="20"/>
              </w:rPr>
              <w:t xml:space="preserve">Zarogoulidis P, Huang H, Zhou J, Ning Y, Yang M, Wang J, Zhang R, Bai C, Shen X, Huang Z, Petridis D, Kosmidis C, Kosmidou M, Tsakiridis K, Hohenforst-Schmidt W, Baka S, Petanidis S, Zaric B, </w:t>
            </w:r>
            <w:r w:rsidRPr="002E3A55">
              <w:rPr>
                <w:b/>
                <w:bCs/>
                <w:sz w:val="20"/>
                <w:szCs w:val="20"/>
              </w:rPr>
              <w:t>Kovacevic T</w:t>
            </w:r>
            <w:r w:rsidRPr="002E3A55">
              <w:rPr>
                <w:sz w:val="20"/>
                <w:szCs w:val="20"/>
              </w:rPr>
              <w:t>, Stojsic V, Sarcev T, Bursac D, Kukic B, Rapti A, Pantea S, Rogoveanu O, Rogoveanu I, Romanidis K, Kesisoglou I, Ioannidis A, Vagionas A, Sapalidis K. Thyroid cancer diagnosis with transdermal probe 22G U/S versus EBUS-convex probe TBNA-B 22G and 19G: pros and cons. Expert Rev Med Devices. 2021 Feb;18(2):197-201. doi: 10.1080/17434440.2021.1880891.</w:t>
            </w:r>
          </w:p>
        </w:tc>
        <w:tc>
          <w:tcPr>
            <w:tcW w:w="441" w:type="pct"/>
          </w:tcPr>
          <w:p w14:paraId="358E6BF6" w14:textId="77777777" w:rsidR="00434B43" w:rsidRPr="000022A6" w:rsidRDefault="00434B43" w:rsidP="00434B43">
            <w:pPr>
              <w:pStyle w:val="TableParagraph"/>
              <w:spacing w:before="8" w:line="276" w:lineRule="auto"/>
              <w:jc w:val="both"/>
              <w:rPr>
                <w:sz w:val="20"/>
                <w:szCs w:val="20"/>
              </w:rPr>
            </w:pPr>
          </w:p>
        </w:tc>
        <w:tc>
          <w:tcPr>
            <w:tcW w:w="379" w:type="pct"/>
          </w:tcPr>
          <w:p w14:paraId="33D08726" w14:textId="00D208EA" w:rsidR="00434B43" w:rsidRPr="000022A6"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61DD7AEB" w14:textId="29F8DF91" w:rsidR="00434B43" w:rsidRPr="000022A6" w:rsidRDefault="00434B43" w:rsidP="00434B43">
            <w:pPr>
              <w:pStyle w:val="TableParagraph"/>
              <w:spacing w:before="8" w:line="276" w:lineRule="auto"/>
              <w:jc w:val="both"/>
              <w:rPr>
                <w:sz w:val="20"/>
                <w:szCs w:val="20"/>
              </w:rPr>
            </w:pPr>
            <w:r w:rsidRPr="00FB1795">
              <w:rPr>
                <w:sz w:val="20"/>
                <w:szCs w:val="20"/>
                <w:lang w:val="sr-Latn-CS"/>
              </w:rPr>
              <w:t>3.439</w:t>
            </w:r>
          </w:p>
        </w:tc>
      </w:tr>
      <w:tr w:rsidR="00434B43" w:rsidRPr="00A22864" w14:paraId="4A14A372" w14:textId="77777777" w:rsidTr="00D6036B">
        <w:trPr>
          <w:trHeight w:val="227"/>
          <w:jc w:val="center"/>
        </w:trPr>
        <w:tc>
          <w:tcPr>
            <w:tcW w:w="307" w:type="pct"/>
            <w:vAlign w:val="center"/>
          </w:tcPr>
          <w:p w14:paraId="015D99E2" w14:textId="1DC24609" w:rsidR="00434B43" w:rsidRPr="000022A6" w:rsidRDefault="00434B43" w:rsidP="00434B43">
            <w:pPr>
              <w:spacing w:line="276" w:lineRule="auto"/>
              <w:ind w:left="-23"/>
              <w:jc w:val="center"/>
            </w:pPr>
            <w:r>
              <w:t>11.</w:t>
            </w:r>
          </w:p>
        </w:tc>
        <w:tc>
          <w:tcPr>
            <w:tcW w:w="3494" w:type="pct"/>
            <w:gridSpan w:val="9"/>
          </w:tcPr>
          <w:p w14:paraId="7EE529CC" w14:textId="708D67BA" w:rsidR="00434B43" w:rsidRPr="000022A6" w:rsidRDefault="00434B43" w:rsidP="00434B43">
            <w:pPr>
              <w:pStyle w:val="TableParagraph"/>
              <w:ind w:left="65" w:right="-15"/>
              <w:jc w:val="both"/>
              <w:rPr>
                <w:sz w:val="20"/>
                <w:szCs w:val="20"/>
              </w:rPr>
            </w:pPr>
            <w:r w:rsidRPr="00FB1795">
              <w:rPr>
                <w:sz w:val="20"/>
                <w:szCs w:val="20"/>
                <w:lang w:val="sr-Latn-CS"/>
              </w:rPr>
              <w:t xml:space="preserve">Zarogoulidis P, Christakidis V, Petridis D, Sapalidis K, Kosmidis C, Vagionas A, Perdikouri EI, Hohenforst-Schmidt W, Huang H, Petanidis S, Tsakiridis K, Baka S, Romanidis K, Zaric B, </w:t>
            </w:r>
            <w:r w:rsidRPr="00FB1795">
              <w:rPr>
                <w:b/>
                <w:bCs/>
                <w:sz w:val="20"/>
                <w:szCs w:val="20"/>
                <w:lang w:val="sr-Latn-CS"/>
              </w:rPr>
              <w:t>Kovacevic T</w:t>
            </w:r>
            <w:r w:rsidRPr="00FB1795">
              <w:rPr>
                <w:sz w:val="20"/>
                <w:szCs w:val="20"/>
                <w:lang w:val="sr-Latn-CS"/>
              </w:rPr>
              <w:t>, Stojsic V, Sarcev T, Bursac D, Kukic B, Boukovinas I, Tolis C, Sardeli C. Connection between PD-L1 expression and standardized uptake value in NSCLC: an early prognostic treatment combination. Expert Rev Respir Med. 2021 May;15(5):675-9. doi: 10.1080/17476348.2021.1859373.</w:t>
            </w:r>
          </w:p>
        </w:tc>
        <w:tc>
          <w:tcPr>
            <w:tcW w:w="441" w:type="pct"/>
          </w:tcPr>
          <w:p w14:paraId="388167E1" w14:textId="77777777" w:rsidR="00434B43" w:rsidRPr="000022A6" w:rsidRDefault="00434B43" w:rsidP="00434B43">
            <w:pPr>
              <w:pStyle w:val="TableParagraph"/>
              <w:spacing w:before="8" w:line="276" w:lineRule="auto"/>
              <w:jc w:val="both"/>
              <w:rPr>
                <w:sz w:val="20"/>
                <w:szCs w:val="20"/>
              </w:rPr>
            </w:pPr>
          </w:p>
        </w:tc>
        <w:tc>
          <w:tcPr>
            <w:tcW w:w="379" w:type="pct"/>
          </w:tcPr>
          <w:p w14:paraId="577AEFFD" w14:textId="1D15584E" w:rsidR="00434B43" w:rsidRPr="000022A6"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2255A12B" w14:textId="7DA8C161" w:rsidR="00434B43" w:rsidRPr="000022A6" w:rsidRDefault="00434B43" w:rsidP="00434B43">
            <w:pPr>
              <w:pStyle w:val="TableParagraph"/>
              <w:spacing w:before="8" w:line="276" w:lineRule="auto"/>
              <w:jc w:val="both"/>
              <w:rPr>
                <w:sz w:val="20"/>
                <w:szCs w:val="20"/>
              </w:rPr>
            </w:pPr>
            <w:r w:rsidRPr="00FB1795">
              <w:rPr>
                <w:sz w:val="20"/>
                <w:szCs w:val="20"/>
                <w:lang w:val="sr-Latn-CS"/>
              </w:rPr>
              <w:t>4.300</w:t>
            </w:r>
          </w:p>
        </w:tc>
      </w:tr>
      <w:tr w:rsidR="00434B43" w:rsidRPr="00A22864" w14:paraId="0FF900D8" w14:textId="77777777" w:rsidTr="00D6036B">
        <w:trPr>
          <w:trHeight w:val="227"/>
          <w:jc w:val="center"/>
        </w:trPr>
        <w:tc>
          <w:tcPr>
            <w:tcW w:w="307" w:type="pct"/>
            <w:vAlign w:val="center"/>
          </w:tcPr>
          <w:p w14:paraId="4639A33F" w14:textId="224B36C5" w:rsidR="00434B43" w:rsidRPr="000022A6" w:rsidRDefault="00434B43" w:rsidP="00434B43">
            <w:pPr>
              <w:spacing w:line="276" w:lineRule="auto"/>
              <w:ind w:left="-23"/>
              <w:jc w:val="center"/>
            </w:pPr>
            <w:r>
              <w:t>12.</w:t>
            </w:r>
          </w:p>
        </w:tc>
        <w:tc>
          <w:tcPr>
            <w:tcW w:w="3494" w:type="pct"/>
            <w:gridSpan w:val="9"/>
          </w:tcPr>
          <w:p w14:paraId="2C3877D6" w14:textId="2929AEF9" w:rsidR="00434B43" w:rsidRPr="00FB1795" w:rsidRDefault="00434B43" w:rsidP="00434B43">
            <w:pPr>
              <w:pStyle w:val="TableParagraph"/>
              <w:ind w:left="65" w:right="-15"/>
              <w:jc w:val="both"/>
              <w:rPr>
                <w:sz w:val="20"/>
                <w:szCs w:val="20"/>
                <w:lang w:val="sr-Latn-CS"/>
              </w:rPr>
            </w:pPr>
            <w:r w:rsidRPr="00943802">
              <w:rPr>
                <w:sz w:val="20"/>
                <w:szCs w:val="20"/>
                <w:lang w:val="sr-Latn-CS"/>
              </w:rPr>
              <w:t xml:space="preserve">Zarogoulidis P, Petridis D, Sapalidis K, Tsakiridis K, Baka S, Vagionas A, Hohenforst-Schmidt W, Freitag L, Huang H, Bai C, Drougas D, Theofilatou V, Romanidis K, Perdikouri EI, Petanidis S, Zaric B, </w:t>
            </w:r>
            <w:r w:rsidRPr="00943802">
              <w:rPr>
                <w:b/>
                <w:bCs/>
                <w:sz w:val="20"/>
                <w:szCs w:val="20"/>
                <w:lang w:val="sr-Latn-CS"/>
              </w:rPr>
              <w:t>Kovacevic T</w:t>
            </w:r>
            <w:r w:rsidRPr="00943802">
              <w:rPr>
                <w:sz w:val="20"/>
                <w:szCs w:val="20"/>
                <w:lang w:val="sr-Latn-CS"/>
              </w:rPr>
              <w:t>, Stojsic V, Sarcev T, Bursac D, Kukic B, Perin B, Courcoutsakis N, Athanasiou E, Hatzibougias D, Drevelegas K, Boukovinas I, Kosmidou M, Kosmidis C. Lung cancer biopsies: Comparison between simple 22G, 22G upgraded and 21G needle for EBUS-TBNA. J Cancer. 2020 Sep 14;11(21):6454-9. doi: 10.7150/jca.48691.</w:t>
            </w:r>
          </w:p>
        </w:tc>
        <w:tc>
          <w:tcPr>
            <w:tcW w:w="441" w:type="pct"/>
          </w:tcPr>
          <w:p w14:paraId="0D5A1F51" w14:textId="77777777" w:rsidR="00434B43" w:rsidRPr="000022A6" w:rsidRDefault="00434B43" w:rsidP="00434B43">
            <w:pPr>
              <w:pStyle w:val="TableParagraph"/>
              <w:spacing w:before="8" w:line="276" w:lineRule="auto"/>
              <w:jc w:val="both"/>
              <w:rPr>
                <w:sz w:val="20"/>
                <w:szCs w:val="20"/>
              </w:rPr>
            </w:pPr>
          </w:p>
        </w:tc>
        <w:tc>
          <w:tcPr>
            <w:tcW w:w="379" w:type="pct"/>
          </w:tcPr>
          <w:p w14:paraId="55702058" w14:textId="7355C163" w:rsidR="00434B43"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4995B978" w14:textId="4FD75937" w:rsidR="00434B43" w:rsidRPr="00FB1795" w:rsidRDefault="00434B43" w:rsidP="00434B43">
            <w:pPr>
              <w:pStyle w:val="TableParagraph"/>
              <w:spacing w:before="8" w:line="276" w:lineRule="auto"/>
              <w:jc w:val="both"/>
              <w:rPr>
                <w:sz w:val="20"/>
                <w:szCs w:val="20"/>
                <w:lang w:val="sr-Latn-CS"/>
              </w:rPr>
            </w:pPr>
            <w:r w:rsidRPr="00943802">
              <w:rPr>
                <w:sz w:val="20"/>
                <w:szCs w:val="20"/>
                <w:lang w:val="sr-Latn-CS"/>
              </w:rPr>
              <w:t>4.277</w:t>
            </w:r>
          </w:p>
        </w:tc>
      </w:tr>
      <w:tr w:rsidR="00434B43" w:rsidRPr="00A22864" w14:paraId="4510E97D" w14:textId="77777777" w:rsidTr="00D6036B">
        <w:trPr>
          <w:trHeight w:val="227"/>
          <w:jc w:val="center"/>
        </w:trPr>
        <w:tc>
          <w:tcPr>
            <w:tcW w:w="307" w:type="pct"/>
            <w:vAlign w:val="center"/>
          </w:tcPr>
          <w:p w14:paraId="68EA2976" w14:textId="2EAE0117" w:rsidR="00434B43" w:rsidRPr="000022A6" w:rsidRDefault="00434B43" w:rsidP="00434B43">
            <w:pPr>
              <w:spacing w:line="276" w:lineRule="auto"/>
              <w:ind w:left="-23"/>
              <w:jc w:val="center"/>
            </w:pPr>
            <w:r>
              <w:lastRenderedPageBreak/>
              <w:t>13.</w:t>
            </w:r>
          </w:p>
        </w:tc>
        <w:tc>
          <w:tcPr>
            <w:tcW w:w="3494" w:type="pct"/>
            <w:gridSpan w:val="9"/>
          </w:tcPr>
          <w:p w14:paraId="7A459318" w14:textId="78D10B69" w:rsidR="00434B43" w:rsidRPr="00FB1795" w:rsidRDefault="00434B43" w:rsidP="00434B43">
            <w:pPr>
              <w:pStyle w:val="TableParagraph"/>
              <w:ind w:left="65" w:right="-15"/>
              <w:jc w:val="both"/>
              <w:rPr>
                <w:sz w:val="20"/>
                <w:szCs w:val="20"/>
                <w:lang w:val="sr-Latn-CS"/>
              </w:rPr>
            </w:pPr>
            <w:r w:rsidRPr="00943802">
              <w:rPr>
                <w:sz w:val="20"/>
                <w:szCs w:val="20"/>
                <w:lang w:val="sr-Latn-CS"/>
              </w:rPr>
              <w:t xml:space="preserve">Shi D, Li F, Wang K, Kong C, Huang H, Li Q, Jin F, Hu C, Wang C, Shi H, Hu Z, Dong Y, Ning Y, Tsakiridis K, Sapalidis K, Kosmidis C, Vagionas A, Hohenforst-Schmidt W, Freitag L, Turner JF, Drevelegas K, Perdikouri EI, </w:t>
            </w:r>
            <w:r w:rsidRPr="00943802">
              <w:rPr>
                <w:b/>
                <w:bCs/>
                <w:sz w:val="20"/>
                <w:szCs w:val="20"/>
                <w:lang w:val="sr-Latn-CS"/>
              </w:rPr>
              <w:t>Kovacevic T</w:t>
            </w:r>
            <w:r w:rsidRPr="00943802">
              <w:rPr>
                <w:sz w:val="20"/>
                <w:szCs w:val="20"/>
                <w:lang w:val="sr-Latn-CS"/>
              </w:rPr>
              <w:t>, Sarcev T, Zaric B, Petanidis S, Baka S, Boukovinas I, Kakolyris S, Zarogoulidis P, Bai C. The development of bronchoscopy in China: a national cross-sectional study. J Cancer. 2020 Jul 20;11(19):5547-55. doi: 10.7150/jca.47183.</w:t>
            </w:r>
          </w:p>
        </w:tc>
        <w:tc>
          <w:tcPr>
            <w:tcW w:w="441" w:type="pct"/>
          </w:tcPr>
          <w:p w14:paraId="5A28E9E4" w14:textId="77777777" w:rsidR="00434B43" w:rsidRPr="000022A6" w:rsidRDefault="00434B43" w:rsidP="00434B43">
            <w:pPr>
              <w:pStyle w:val="TableParagraph"/>
              <w:spacing w:before="8" w:line="276" w:lineRule="auto"/>
              <w:jc w:val="both"/>
              <w:rPr>
                <w:sz w:val="20"/>
                <w:szCs w:val="20"/>
              </w:rPr>
            </w:pPr>
          </w:p>
        </w:tc>
        <w:tc>
          <w:tcPr>
            <w:tcW w:w="379" w:type="pct"/>
          </w:tcPr>
          <w:p w14:paraId="6EA1B880" w14:textId="0393C5BF" w:rsidR="00434B43"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4D2FFD30" w14:textId="0563BD61" w:rsidR="00434B43" w:rsidRPr="00FB1795" w:rsidRDefault="00434B43" w:rsidP="00434B43">
            <w:pPr>
              <w:pStyle w:val="TableParagraph"/>
              <w:spacing w:before="8" w:line="276" w:lineRule="auto"/>
              <w:jc w:val="both"/>
              <w:rPr>
                <w:sz w:val="20"/>
                <w:szCs w:val="20"/>
                <w:lang w:val="sr-Latn-CS"/>
              </w:rPr>
            </w:pPr>
            <w:r w:rsidRPr="008F4902">
              <w:rPr>
                <w:sz w:val="20"/>
                <w:szCs w:val="20"/>
                <w:lang w:val="sr-Latn-CS"/>
              </w:rPr>
              <w:t>4.277</w:t>
            </w:r>
          </w:p>
        </w:tc>
      </w:tr>
      <w:tr w:rsidR="00434B43" w:rsidRPr="00A22864" w14:paraId="2BEC5F25" w14:textId="77777777" w:rsidTr="00D6036B">
        <w:trPr>
          <w:trHeight w:val="227"/>
          <w:jc w:val="center"/>
        </w:trPr>
        <w:tc>
          <w:tcPr>
            <w:tcW w:w="307" w:type="pct"/>
            <w:vAlign w:val="center"/>
          </w:tcPr>
          <w:p w14:paraId="722B7D16" w14:textId="562E6D0E" w:rsidR="00434B43" w:rsidRPr="000022A6" w:rsidRDefault="00434B43" w:rsidP="00434B43">
            <w:pPr>
              <w:spacing w:line="276" w:lineRule="auto"/>
              <w:ind w:left="-23"/>
              <w:jc w:val="center"/>
            </w:pPr>
            <w:r>
              <w:t>14.</w:t>
            </w:r>
          </w:p>
        </w:tc>
        <w:tc>
          <w:tcPr>
            <w:tcW w:w="3494" w:type="pct"/>
            <w:gridSpan w:val="9"/>
          </w:tcPr>
          <w:p w14:paraId="096A9B0C" w14:textId="5295B745" w:rsidR="00434B43" w:rsidRPr="00800532" w:rsidRDefault="00434B43" w:rsidP="00434B43">
            <w:pPr>
              <w:pStyle w:val="TableParagraph"/>
              <w:ind w:left="65" w:right="-15"/>
              <w:jc w:val="both"/>
              <w:rPr>
                <w:sz w:val="20"/>
                <w:szCs w:val="20"/>
                <w:lang w:val="sr-Latn-CS"/>
              </w:rPr>
            </w:pPr>
            <w:r w:rsidRPr="00800532">
              <w:rPr>
                <w:sz w:val="20"/>
                <w:szCs w:val="20"/>
              </w:rPr>
              <w:t xml:space="preserve">Zaric B, Brcic L, Buder A, Brandstetter A, Buresch JO, Traint S, </w:t>
            </w:r>
            <w:r w:rsidRPr="00800532">
              <w:rPr>
                <w:b/>
                <w:bCs/>
                <w:sz w:val="20"/>
                <w:szCs w:val="20"/>
              </w:rPr>
              <w:t>Kovacevic T</w:t>
            </w:r>
            <w:r w:rsidRPr="00800532">
              <w:rPr>
                <w:sz w:val="20"/>
                <w:szCs w:val="20"/>
              </w:rPr>
              <w:t>, Stojsic V, Perin B, Pirker R, Filipits M. PD-1 and PD-L1 Protein Expression Predict Survival in Completely Resected Lung Adenocarcinoma. Clin Lung Cancer. 2018 Nov;19(6):e957-e963. doi: 10.1016/j.cllc.2018.08.014.</w:t>
            </w:r>
          </w:p>
        </w:tc>
        <w:tc>
          <w:tcPr>
            <w:tcW w:w="441" w:type="pct"/>
          </w:tcPr>
          <w:p w14:paraId="59CADE1F" w14:textId="77777777" w:rsidR="00434B43" w:rsidRPr="000022A6" w:rsidRDefault="00434B43" w:rsidP="00434B43">
            <w:pPr>
              <w:pStyle w:val="TableParagraph"/>
              <w:spacing w:before="8" w:line="276" w:lineRule="auto"/>
              <w:jc w:val="both"/>
              <w:rPr>
                <w:sz w:val="20"/>
                <w:szCs w:val="20"/>
              </w:rPr>
            </w:pPr>
          </w:p>
        </w:tc>
        <w:tc>
          <w:tcPr>
            <w:tcW w:w="379" w:type="pct"/>
          </w:tcPr>
          <w:p w14:paraId="56B81F08" w14:textId="1B09A73D" w:rsidR="00434B43" w:rsidRDefault="00434B43" w:rsidP="00434B43">
            <w:pPr>
              <w:pStyle w:val="TableParagraph"/>
              <w:spacing w:before="8" w:line="276" w:lineRule="auto"/>
              <w:jc w:val="both"/>
              <w:rPr>
                <w:sz w:val="20"/>
                <w:szCs w:val="20"/>
              </w:rPr>
            </w:pPr>
            <w:r>
              <w:rPr>
                <w:sz w:val="20"/>
                <w:szCs w:val="20"/>
              </w:rPr>
              <w:t xml:space="preserve">  21</w:t>
            </w:r>
          </w:p>
        </w:tc>
        <w:tc>
          <w:tcPr>
            <w:tcW w:w="379" w:type="pct"/>
          </w:tcPr>
          <w:p w14:paraId="708B5297" w14:textId="5980686F" w:rsidR="00434B43" w:rsidRPr="00FB1795" w:rsidRDefault="00434B43" w:rsidP="00434B43">
            <w:pPr>
              <w:pStyle w:val="TableParagraph"/>
              <w:spacing w:before="8" w:line="276" w:lineRule="auto"/>
              <w:jc w:val="both"/>
              <w:rPr>
                <w:sz w:val="20"/>
                <w:szCs w:val="20"/>
                <w:lang w:val="sr-Latn-CS"/>
              </w:rPr>
            </w:pPr>
            <w:r w:rsidRPr="00800532">
              <w:rPr>
                <w:sz w:val="20"/>
                <w:szCs w:val="20"/>
                <w:lang w:val="sr-Latn-CS"/>
              </w:rPr>
              <w:t>4.204</w:t>
            </w:r>
          </w:p>
        </w:tc>
      </w:tr>
      <w:tr w:rsidR="00434B43" w:rsidRPr="00A22864" w14:paraId="2DCD5427" w14:textId="77777777" w:rsidTr="00D6036B">
        <w:trPr>
          <w:trHeight w:val="227"/>
          <w:jc w:val="center"/>
        </w:trPr>
        <w:tc>
          <w:tcPr>
            <w:tcW w:w="307" w:type="pct"/>
            <w:vAlign w:val="center"/>
          </w:tcPr>
          <w:p w14:paraId="260AE4B0" w14:textId="6BC41ABF" w:rsidR="00434B43" w:rsidRPr="000022A6" w:rsidRDefault="00434B43" w:rsidP="00434B43">
            <w:pPr>
              <w:spacing w:line="276" w:lineRule="auto"/>
              <w:ind w:left="-23"/>
              <w:jc w:val="center"/>
            </w:pPr>
            <w:r>
              <w:t>15.</w:t>
            </w:r>
          </w:p>
        </w:tc>
        <w:tc>
          <w:tcPr>
            <w:tcW w:w="3494" w:type="pct"/>
            <w:gridSpan w:val="9"/>
          </w:tcPr>
          <w:p w14:paraId="0AF3EA0A" w14:textId="58187728" w:rsidR="00434B43" w:rsidRPr="0008113F" w:rsidRDefault="00434B43" w:rsidP="00434B43">
            <w:pPr>
              <w:pStyle w:val="TableParagraph"/>
              <w:ind w:left="65" w:right="-15"/>
              <w:jc w:val="both"/>
              <w:rPr>
                <w:sz w:val="20"/>
                <w:szCs w:val="20"/>
                <w:lang w:val="sr-Latn-CS"/>
              </w:rPr>
            </w:pPr>
            <w:r w:rsidRPr="0008113F">
              <w:rPr>
                <w:sz w:val="20"/>
                <w:szCs w:val="20"/>
              </w:rPr>
              <w:t xml:space="preserve">Andrijevic I, Milutinov S, Lozanov Crvenkovic Z, Matijasevic J, Andrijevic A, </w:t>
            </w:r>
            <w:r w:rsidRPr="0008113F">
              <w:rPr>
                <w:b/>
                <w:bCs/>
                <w:sz w:val="20"/>
                <w:szCs w:val="20"/>
              </w:rPr>
              <w:t>Kovacevic T</w:t>
            </w:r>
            <w:r w:rsidRPr="0008113F">
              <w:rPr>
                <w:sz w:val="20"/>
                <w:szCs w:val="20"/>
              </w:rPr>
              <w:t>, Bokan D, Zaric B. N-Terminal Prohormone of Brain Natriuretic Peptide (NT-proBNP) as a Diagnostic Biomarker of Left Ventricular Systolic Dysfunction in Patients with Acute Exacerbation of Chronic Obstructive Pulmonary Disease (AECOPD). Lung. 2018 Oct;196(5):583-90. doi: 10.1007/s00408-018-0137-3.</w:t>
            </w:r>
          </w:p>
        </w:tc>
        <w:tc>
          <w:tcPr>
            <w:tcW w:w="441" w:type="pct"/>
          </w:tcPr>
          <w:p w14:paraId="4A663AA7" w14:textId="77777777" w:rsidR="00434B43" w:rsidRPr="000022A6" w:rsidRDefault="00434B43" w:rsidP="00434B43">
            <w:pPr>
              <w:pStyle w:val="TableParagraph"/>
              <w:spacing w:before="8" w:line="276" w:lineRule="auto"/>
              <w:jc w:val="both"/>
              <w:rPr>
                <w:sz w:val="20"/>
                <w:szCs w:val="20"/>
              </w:rPr>
            </w:pPr>
          </w:p>
        </w:tc>
        <w:tc>
          <w:tcPr>
            <w:tcW w:w="379" w:type="pct"/>
          </w:tcPr>
          <w:p w14:paraId="4EE4FB46" w14:textId="1C48051F" w:rsidR="00434B43" w:rsidRDefault="00434B43" w:rsidP="00434B43">
            <w:pPr>
              <w:pStyle w:val="TableParagraph"/>
              <w:spacing w:before="8" w:line="276" w:lineRule="auto"/>
              <w:jc w:val="both"/>
              <w:rPr>
                <w:sz w:val="20"/>
                <w:szCs w:val="20"/>
              </w:rPr>
            </w:pPr>
            <w:r>
              <w:rPr>
                <w:sz w:val="20"/>
                <w:szCs w:val="20"/>
              </w:rPr>
              <w:t xml:space="preserve">  22</w:t>
            </w:r>
          </w:p>
        </w:tc>
        <w:tc>
          <w:tcPr>
            <w:tcW w:w="379" w:type="pct"/>
          </w:tcPr>
          <w:p w14:paraId="418887C4" w14:textId="321F7A33" w:rsidR="00434B43" w:rsidRPr="00FB1795" w:rsidRDefault="00434B43" w:rsidP="00434B43">
            <w:pPr>
              <w:pStyle w:val="TableParagraph"/>
              <w:spacing w:before="8" w:line="276" w:lineRule="auto"/>
              <w:jc w:val="both"/>
              <w:rPr>
                <w:sz w:val="20"/>
                <w:szCs w:val="20"/>
                <w:lang w:val="sr-Latn-CS"/>
              </w:rPr>
            </w:pPr>
            <w:r w:rsidRPr="0008113F">
              <w:rPr>
                <w:sz w:val="20"/>
                <w:szCs w:val="20"/>
                <w:lang w:val="sr-Latn-CS"/>
              </w:rPr>
              <w:t>2.231</w:t>
            </w:r>
          </w:p>
        </w:tc>
      </w:tr>
      <w:tr w:rsidR="00434B43" w:rsidRPr="00A22864" w14:paraId="1A248334" w14:textId="77777777" w:rsidTr="004A0860">
        <w:trPr>
          <w:trHeight w:val="227"/>
          <w:jc w:val="center"/>
        </w:trPr>
        <w:tc>
          <w:tcPr>
            <w:tcW w:w="307" w:type="pct"/>
            <w:vAlign w:val="center"/>
          </w:tcPr>
          <w:p w14:paraId="5D250812" w14:textId="58204309" w:rsidR="00434B43" w:rsidRPr="000022A6" w:rsidRDefault="00434B43" w:rsidP="00434B43">
            <w:pPr>
              <w:spacing w:line="276" w:lineRule="auto"/>
              <w:ind w:left="-23"/>
              <w:jc w:val="center"/>
            </w:pPr>
            <w:r>
              <w:t>16.</w:t>
            </w:r>
          </w:p>
        </w:tc>
        <w:tc>
          <w:tcPr>
            <w:tcW w:w="3494" w:type="pct"/>
            <w:gridSpan w:val="9"/>
          </w:tcPr>
          <w:p w14:paraId="70B38FE0" w14:textId="7EBAA7C4" w:rsidR="00434B43" w:rsidRPr="0008113F" w:rsidRDefault="00434B43" w:rsidP="00434B43">
            <w:pPr>
              <w:pStyle w:val="TableParagraph"/>
              <w:ind w:left="65" w:right="-15"/>
              <w:jc w:val="both"/>
              <w:rPr>
                <w:sz w:val="20"/>
                <w:szCs w:val="20"/>
              </w:rPr>
            </w:pPr>
            <w:hyperlink r:id="rId5" w:history="1"/>
            <w:r w:rsidRPr="0008113F">
              <w:rPr>
                <w:sz w:val="20"/>
                <w:szCs w:val="20"/>
              </w:rPr>
              <w:t>Zarić B</w:t>
            </w:r>
            <w:r w:rsidRPr="00AB58B6">
              <w:rPr>
                <w:sz w:val="20"/>
                <w:szCs w:val="20"/>
              </w:rPr>
              <w:t>, Stoj</w:t>
            </w:r>
            <w:r>
              <w:rPr>
                <w:sz w:val="20"/>
                <w:szCs w:val="20"/>
              </w:rPr>
              <w:t>š</w:t>
            </w:r>
            <w:r w:rsidRPr="00AB58B6">
              <w:rPr>
                <w:sz w:val="20"/>
                <w:szCs w:val="20"/>
              </w:rPr>
              <w:t>i</w:t>
            </w:r>
            <w:r>
              <w:rPr>
                <w:sz w:val="20"/>
                <w:szCs w:val="20"/>
              </w:rPr>
              <w:t>ć</w:t>
            </w:r>
            <w:r w:rsidRPr="00AB58B6">
              <w:rPr>
                <w:sz w:val="20"/>
                <w:szCs w:val="20"/>
              </w:rPr>
              <w:t xml:space="preserve"> V,</w:t>
            </w:r>
            <w:r w:rsidRPr="00AB58B6">
              <w:rPr>
                <w:rStyle w:val="apple-converted-space"/>
                <w:sz w:val="20"/>
                <w:szCs w:val="20"/>
              </w:rPr>
              <w:t> </w:t>
            </w:r>
            <w:r w:rsidRPr="00AB58B6">
              <w:rPr>
                <w:bCs/>
                <w:sz w:val="20"/>
                <w:szCs w:val="20"/>
              </w:rPr>
              <w:t>Panjkovi</w:t>
            </w:r>
            <w:r>
              <w:rPr>
                <w:bCs/>
                <w:sz w:val="20"/>
                <w:szCs w:val="20"/>
              </w:rPr>
              <w:t>ć</w:t>
            </w:r>
            <w:r w:rsidRPr="00AB58B6">
              <w:rPr>
                <w:bCs/>
                <w:sz w:val="20"/>
                <w:szCs w:val="20"/>
              </w:rPr>
              <w:t xml:space="preserve"> M</w:t>
            </w:r>
            <w:r w:rsidRPr="00AB58B6">
              <w:rPr>
                <w:sz w:val="20"/>
                <w:szCs w:val="20"/>
              </w:rPr>
              <w:t xml:space="preserve">, Tegeltija D, Stepanov V, </w:t>
            </w:r>
            <w:r w:rsidRPr="0008113F">
              <w:rPr>
                <w:b/>
                <w:bCs/>
                <w:sz w:val="20"/>
                <w:szCs w:val="20"/>
              </w:rPr>
              <w:t>Kovačević T</w:t>
            </w:r>
            <w:r w:rsidRPr="00AB58B6">
              <w:rPr>
                <w:sz w:val="20"/>
                <w:szCs w:val="20"/>
              </w:rPr>
              <w:t xml:space="preserve">, </w:t>
            </w:r>
            <w:r>
              <w:rPr>
                <w:sz w:val="20"/>
                <w:szCs w:val="20"/>
              </w:rPr>
              <w:t>et al</w:t>
            </w:r>
            <w:r w:rsidRPr="00AB58B6">
              <w:rPr>
                <w:sz w:val="20"/>
                <w:szCs w:val="20"/>
              </w:rPr>
              <w:t xml:space="preserve">. </w:t>
            </w:r>
            <w:r w:rsidRPr="0008113F">
              <w:rPr>
                <w:sz w:val="20"/>
                <w:szCs w:val="20"/>
              </w:rPr>
              <w:t>Clinicopathological features and relation between anaplastic lymphoma kinase (ALK) mutation and histological subtype of lung adenocarcinoma in Eastern European Caucasian population</w:t>
            </w:r>
            <w:r w:rsidRPr="00AB58B6">
              <w:rPr>
                <w:sz w:val="20"/>
                <w:szCs w:val="20"/>
              </w:rPr>
              <w:t xml:space="preserve">. </w:t>
            </w:r>
            <w:r w:rsidRPr="00AB58B6">
              <w:rPr>
                <w:rStyle w:val="jrnl"/>
                <w:sz w:val="20"/>
                <w:szCs w:val="20"/>
              </w:rPr>
              <w:t>J Cancer</w:t>
            </w:r>
            <w:r w:rsidRPr="00AB58B6">
              <w:rPr>
                <w:sz w:val="20"/>
                <w:szCs w:val="20"/>
              </w:rPr>
              <w:t>. 2016;7(15):2207-12.</w:t>
            </w:r>
          </w:p>
        </w:tc>
        <w:tc>
          <w:tcPr>
            <w:tcW w:w="441" w:type="pct"/>
          </w:tcPr>
          <w:p w14:paraId="33A36F73" w14:textId="77777777" w:rsidR="00434B43" w:rsidRPr="000022A6" w:rsidRDefault="00434B43" w:rsidP="00434B43">
            <w:pPr>
              <w:pStyle w:val="TableParagraph"/>
              <w:spacing w:before="8" w:line="276" w:lineRule="auto"/>
              <w:jc w:val="both"/>
              <w:rPr>
                <w:sz w:val="20"/>
                <w:szCs w:val="20"/>
              </w:rPr>
            </w:pPr>
          </w:p>
        </w:tc>
        <w:tc>
          <w:tcPr>
            <w:tcW w:w="379" w:type="pct"/>
            <w:vAlign w:val="center"/>
          </w:tcPr>
          <w:p w14:paraId="1FF757FC" w14:textId="34E2BD14" w:rsidR="00434B43" w:rsidRPr="00FF4336" w:rsidRDefault="00434B43" w:rsidP="00434B43">
            <w:pPr>
              <w:pStyle w:val="TableParagraph"/>
              <w:spacing w:before="8" w:line="276" w:lineRule="auto"/>
              <w:jc w:val="both"/>
              <w:rPr>
                <w:sz w:val="20"/>
                <w:szCs w:val="20"/>
              </w:rPr>
            </w:pPr>
            <w:r w:rsidRPr="00FF4336">
              <w:rPr>
                <w:sz w:val="20"/>
                <w:szCs w:val="20"/>
              </w:rPr>
              <w:t xml:space="preserve">  22</w:t>
            </w:r>
          </w:p>
        </w:tc>
        <w:tc>
          <w:tcPr>
            <w:tcW w:w="379" w:type="pct"/>
            <w:vAlign w:val="center"/>
          </w:tcPr>
          <w:p w14:paraId="6EF723C7" w14:textId="6D7B9158" w:rsidR="00434B43" w:rsidRPr="00FF4336" w:rsidRDefault="00434B43" w:rsidP="00434B43">
            <w:pPr>
              <w:pStyle w:val="TableParagraph"/>
              <w:spacing w:before="8" w:line="276" w:lineRule="auto"/>
              <w:jc w:val="both"/>
              <w:rPr>
                <w:sz w:val="20"/>
                <w:szCs w:val="20"/>
                <w:lang w:val="sr-Latn-CS"/>
              </w:rPr>
            </w:pPr>
            <w:r w:rsidRPr="00FF4336">
              <w:rPr>
                <w:sz w:val="20"/>
                <w:szCs w:val="20"/>
              </w:rPr>
              <w:t>2.916</w:t>
            </w:r>
          </w:p>
        </w:tc>
      </w:tr>
      <w:tr w:rsidR="00434B43" w:rsidRPr="00A22864" w14:paraId="73E89538" w14:textId="77777777" w:rsidTr="004A0860">
        <w:trPr>
          <w:trHeight w:val="227"/>
          <w:jc w:val="center"/>
        </w:trPr>
        <w:tc>
          <w:tcPr>
            <w:tcW w:w="307" w:type="pct"/>
            <w:vAlign w:val="center"/>
          </w:tcPr>
          <w:p w14:paraId="5D445FFE" w14:textId="2D198B60" w:rsidR="00434B43" w:rsidRDefault="00434B43" w:rsidP="00434B43">
            <w:pPr>
              <w:spacing w:line="276" w:lineRule="auto"/>
              <w:ind w:left="-23"/>
              <w:jc w:val="center"/>
            </w:pPr>
            <w:r>
              <w:t>17.</w:t>
            </w:r>
          </w:p>
        </w:tc>
        <w:tc>
          <w:tcPr>
            <w:tcW w:w="3494" w:type="pct"/>
            <w:gridSpan w:val="9"/>
          </w:tcPr>
          <w:p w14:paraId="23237B80" w14:textId="511BDEA0" w:rsidR="00434B43" w:rsidRPr="00B976FB" w:rsidRDefault="00434B43" w:rsidP="00434B43">
            <w:pPr>
              <w:pStyle w:val="TableParagraph"/>
              <w:ind w:left="65" w:right="-15"/>
              <w:jc w:val="both"/>
              <w:rPr>
                <w:sz w:val="20"/>
                <w:szCs w:val="20"/>
              </w:rPr>
            </w:pPr>
            <w:r w:rsidRPr="00B976FB">
              <w:rPr>
                <w:sz w:val="20"/>
                <w:szCs w:val="20"/>
              </w:rPr>
              <w:t xml:space="preserve">Zarić B, </w:t>
            </w:r>
            <w:r w:rsidRPr="00B976FB">
              <w:rPr>
                <w:b/>
                <w:bCs/>
                <w:sz w:val="20"/>
                <w:szCs w:val="20"/>
              </w:rPr>
              <w:t>Kovačević T</w:t>
            </w:r>
            <w:r w:rsidRPr="00B976FB">
              <w:rPr>
                <w:sz w:val="20"/>
                <w:szCs w:val="20"/>
              </w:rPr>
              <w:t>, Stojšić V, Milovančev A. New technologies in diagnostic bronchoscopy - an age of meta-analyses. Expert Rev Med Devices. 2016;13(9):789-91.</w:t>
            </w:r>
          </w:p>
        </w:tc>
        <w:tc>
          <w:tcPr>
            <w:tcW w:w="441" w:type="pct"/>
          </w:tcPr>
          <w:p w14:paraId="2345AA61" w14:textId="77777777" w:rsidR="00434B43" w:rsidRPr="000022A6" w:rsidRDefault="00434B43" w:rsidP="00434B43">
            <w:pPr>
              <w:pStyle w:val="TableParagraph"/>
              <w:spacing w:before="8" w:line="276" w:lineRule="auto"/>
              <w:jc w:val="both"/>
              <w:rPr>
                <w:sz w:val="20"/>
                <w:szCs w:val="20"/>
              </w:rPr>
            </w:pPr>
          </w:p>
        </w:tc>
        <w:tc>
          <w:tcPr>
            <w:tcW w:w="379" w:type="pct"/>
            <w:vAlign w:val="center"/>
          </w:tcPr>
          <w:p w14:paraId="42A60CA7" w14:textId="4C54FBDE" w:rsidR="00434B43" w:rsidRPr="00B976FB" w:rsidRDefault="00434B43" w:rsidP="00434B43">
            <w:pPr>
              <w:pStyle w:val="TableParagraph"/>
              <w:spacing w:before="8" w:line="276" w:lineRule="auto"/>
              <w:jc w:val="both"/>
              <w:rPr>
                <w:sz w:val="20"/>
                <w:szCs w:val="20"/>
              </w:rPr>
            </w:pPr>
            <w:r w:rsidRPr="00B976FB">
              <w:rPr>
                <w:sz w:val="20"/>
                <w:szCs w:val="20"/>
              </w:rPr>
              <w:t xml:space="preserve">  22</w:t>
            </w:r>
          </w:p>
        </w:tc>
        <w:tc>
          <w:tcPr>
            <w:tcW w:w="379" w:type="pct"/>
            <w:vAlign w:val="center"/>
          </w:tcPr>
          <w:p w14:paraId="77402C18" w14:textId="00E1639D" w:rsidR="00434B43" w:rsidRPr="00B976FB" w:rsidRDefault="00434B43" w:rsidP="00434B43">
            <w:pPr>
              <w:pStyle w:val="TableParagraph"/>
              <w:spacing w:before="8" w:line="276" w:lineRule="auto"/>
              <w:jc w:val="both"/>
              <w:rPr>
                <w:sz w:val="20"/>
                <w:szCs w:val="20"/>
              </w:rPr>
            </w:pPr>
            <w:r w:rsidRPr="00B976FB">
              <w:rPr>
                <w:sz w:val="20"/>
                <w:szCs w:val="20"/>
              </w:rPr>
              <w:t>2.228</w:t>
            </w:r>
          </w:p>
        </w:tc>
      </w:tr>
      <w:tr w:rsidR="00434B43" w:rsidRPr="00A22864" w14:paraId="6293E20E" w14:textId="77777777" w:rsidTr="004A0860">
        <w:trPr>
          <w:trHeight w:val="227"/>
          <w:jc w:val="center"/>
        </w:trPr>
        <w:tc>
          <w:tcPr>
            <w:tcW w:w="307" w:type="pct"/>
            <w:vAlign w:val="center"/>
          </w:tcPr>
          <w:p w14:paraId="7D0C41F7" w14:textId="1C254F34" w:rsidR="00434B43" w:rsidRDefault="00434B43" w:rsidP="00434B43">
            <w:pPr>
              <w:spacing w:line="276" w:lineRule="auto"/>
              <w:ind w:left="-23"/>
              <w:jc w:val="center"/>
            </w:pPr>
            <w:r>
              <w:t>18.</w:t>
            </w:r>
          </w:p>
        </w:tc>
        <w:tc>
          <w:tcPr>
            <w:tcW w:w="3494" w:type="pct"/>
            <w:gridSpan w:val="9"/>
          </w:tcPr>
          <w:p w14:paraId="5A4B8FEC" w14:textId="17E163AC" w:rsidR="00434B43" w:rsidRPr="00CC030C" w:rsidRDefault="00434B43" w:rsidP="00434B43">
            <w:pPr>
              <w:pStyle w:val="TableParagraph"/>
              <w:ind w:left="65" w:right="-15"/>
              <w:jc w:val="both"/>
              <w:rPr>
                <w:sz w:val="20"/>
                <w:szCs w:val="20"/>
              </w:rPr>
            </w:pPr>
            <w:r w:rsidRPr="00CC030C">
              <w:rPr>
                <w:sz w:val="20"/>
                <w:szCs w:val="20"/>
              </w:rPr>
              <w:t xml:space="preserve">Zaric B, Stojsic V, Carapic V, </w:t>
            </w:r>
            <w:r w:rsidRPr="00CC030C">
              <w:rPr>
                <w:b/>
                <w:bCs/>
                <w:sz w:val="20"/>
                <w:szCs w:val="20"/>
              </w:rPr>
              <w:t>Kovacevic T</w:t>
            </w:r>
            <w:r w:rsidRPr="00CC030C">
              <w:rPr>
                <w:sz w:val="20"/>
                <w:szCs w:val="20"/>
              </w:rPr>
              <w:t>, Stojanovic G, Panjkovic M, Kioumis I, Darwiche K, Zarogoulidis K, Stratakos G, Tsavlis D, Hohenforst-Schmidt W, Pitsiou G, Zissimopoulos A, Sachpekidis N, Karapantzos I, Karapantzou C, Zarogoulidis P, Perin B. Radial Endobronchial Ultrasound (EBUS) Guided Suction Catheter-Biopsy in Histological Diagnosis of Peripheral Pulmonary Lesions. J Cancer. 2016 Jan 1;7(1):7-13. doi: 10.7150/jca.13081.</w:t>
            </w:r>
          </w:p>
        </w:tc>
        <w:tc>
          <w:tcPr>
            <w:tcW w:w="441" w:type="pct"/>
          </w:tcPr>
          <w:p w14:paraId="1FDD3FDB" w14:textId="77777777" w:rsidR="00434B43" w:rsidRPr="000022A6" w:rsidRDefault="00434B43" w:rsidP="00434B43">
            <w:pPr>
              <w:pStyle w:val="TableParagraph"/>
              <w:spacing w:before="8" w:line="276" w:lineRule="auto"/>
              <w:jc w:val="both"/>
              <w:rPr>
                <w:sz w:val="20"/>
                <w:szCs w:val="20"/>
              </w:rPr>
            </w:pPr>
          </w:p>
        </w:tc>
        <w:tc>
          <w:tcPr>
            <w:tcW w:w="379" w:type="pct"/>
            <w:vAlign w:val="center"/>
          </w:tcPr>
          <w:p w14:paraId="05E77659" w14:textId="0709EB28" w:rsidR="00434B43" w:rsidRPr="00FF4336" w:rsidRDefault="00434B43" w:rsidP="00434B43">
            <w:pPr>
              <w:pStyle w:val="TableParagraph"/>
              <w:spacing w:before="8" w:line="276" w:lineRule="auto"/>
              <w:jc w:val="both"/>
              <w:rPr>
                <w:sz w:val="20"/>
                <w:szCs w:val="20"/>
              </w:rPr>
            </w:pPr>
            <w:r>
              <w:rPr>
                <w:sz w:val="20"/>
                <w:szCs w:val="20"/>
              </w:rPr>
              <w:t xml:space="preserve">  22</w:t>
            </w:r>
          </w:p>
        </w:tc>
        <w:tc>
          <w:tcPr>
            <w:tcW w:w="379" w:type="pct"/>
            <w:vAlign w:val="center"/>
          </w:tcPr>
          <w:p w14:paraId="1BB3FA3E" w14:textId="1F168266" w:rsidR="00434B43" w:rsidRPr="00FF4336" w:rsidRDefault="00434B43" w:rsidP="00434B43">
            <w:pPr>
              <w:pStyle w:val="TableParagraph"/>
              <w:spacing w:before="8" w:line="276" w:lineRule="auto"/>
              <w:jc w:val="both"/>
              <w:rPr>
                <w:sz w:val="20"/>
                <w:szCs w:val="20"/>
              </w:rPr>
            </w:pPr>
            <w:r w:rsidRPr="00CC030C">
              <w:rPr>
                <w:sz w:val="20"/>
                <w:szCs w:val="20"/>
                <w:lang w:val="sr-Latn-CS"/>
              </w:rPr>
              <w:t>2.916</w:t>
            </w:r>
          </w:p>
        </w:tc>
      </w:tr>
      <w:tr w:rsidR="00434B43" w:rsidRPr="00A22864" w14:paraId="6A4EB988" w14:textId="77777777" w:rsidTr="00494424">
        <w:trPr>
          <w:trHeight w:val="227"/>
          <w:jc w:val="center"/>
        </w:trPr>
        <w:tc>
          <w:tcPr>
            <w:tcW w:w="5000" w:type="pct"/>
            <w:gridSpan w:val="13"/>
            <w:vAlign w:val="center"/>
          </w:tcPr>
          <w:p w14:paraId="14CF286E" w14:textId="77777777" w:rsidR="00434B43" w:rsidRPr="00A22864" w:rsidRDefault="00434B43" w:rsidP="00434B43">
            <w:pPr>
              <w:spacing w:after="60"/>
              <w:rPr>
                <w:b/>
                <w:lang w:val="sr-Cyrl-CS"/>
              </w:rPr>
            </w:pPr>
            <w:r w:rsidRPr="00A22864">
              <w:rPr>
                <w:b/>
                <w:lang w:val="sr-Cyrl-CS"/>
              </w:rPr>
              <w:t>Збирни подаци научне активност наставника</w:t>
            </w:r>
          </w:p>
        </w:tc>
      </w:tr>
      <w:tr w:rsidR="00434B43" w:rsidRPr="00A22864" w14:paraId="0753D8C1" w14:textId="77777777" w:rsidTr="00494424">
        <w:trPr>
          <w:trHeight w:val="227"/>
          <w:jc w:val="center"/>
        </w:trPr>
        <w:tc>
          <w:tcPr>
            <w:tcW w:w="5000" w:type="pct"/>
            <w:gridSpan w:val="13"/>
            <w:vAlign w:val="center"/>
          </w:tcPr>
          <w:p w14:paraId="693091BC" w14:textId="77777777" w:rsidR="00434B43" w:rsidRPr="00A22864" w:rsidRDefault="00434B43" w:rsidP="00434B43">
            <w:pPr>
              <w:spacing w:after="60"/>
              <w:rPr>
                <w:b/>
                <w:lang w:val="sr-Cyrl-CS"/>
              </w:rPr>
            </w:pPr>
            <w:r w:rsidRPr="00A22864">
              <w:rPr>
                <w:b/>
                <w:lang w:val="sr-Cyrl-CS"/>
              </w:rPr>
              <w:t xml:space="preserve">Збирни подаци </w:t>
            </w:r>
            <w:r>
              <w:rPr>
                <w:b/>
              </w:rPr>
              <w:t xml:space="preserve">уметничке </w:t>
            </w:r>
            <w:r w:rsidRPr="00A22864">
              <w:rPr>
                <w:b/>
                <w:lang w:val="sr-Cyrl-CS"/>
              </w:rPr>
              <w:t xml:space="preserve"> активност наставника</w:t>
            </w:r>
          </w:p>
        </w:tc>
      </w:tr>
      <w:tr w:rsidR="00434B43" w:rsidRPr="00A22864" w14:paraId="20415913" w14:textId="77777777" w:rsidTr="00434B43">
        <w:trPr>
          <w:trHeight w:val="227"/>
          <w:jc w:val="center"/>
        </w:trPr>
        <w:tc>
          <w:tcPr>
            <w:tcW w:w="2775" w:type="pct"/>
            <w:gridSpan w:val="5"/>
            <w:vAlign w:val="center"/>
          </w:tcPr>
          <w:p w14:paraId="36AF1677" w14:textId="77777777" w:rsidR="00434B43" w:rsidRPr="00A22864" w:rsidRDefault="00434B43" w:rsidP="00434B43">
            <w:pPr>
              <w:spacing w:after="60"/>
              <w:rPr>
                <w:lang w:val="sr-Cyrl-CS"/>
              </w:rPr>
            </w:pPr>
            <w:r w:rsidRPr="00A22864">
              <w:rPr>
                <w:lang w:val="sr-Cyrl-CS"/>
              </w:rPr>
              <w:t>Укупан број цитата, без аутоцитата</w:t>
            </w:r>
          </w:p>
        </w:tc>
        <w:tc>
          <w:tcPr>
            <w:tcW w:w="2225" w:type="pct"/>
            <w:gridSpan w:val="8"/>
            <w:vAlign w:val="center"/>
          </w:tcPr>
          <w:p w14:paraId="75FDAF77" w14:textId="5973096E" w:rsidR="00434B43" w:rsidRPr="00A46009" w:rsidRDefault="00434B43" w:rsidP="00434B43">
            <w:pPr>
              <w:spacing w:after="60"/>
              <w:rPr>
                <w:b/>
                <w:lang w:val="sr-Latn-RS"/>
              </w:rPr>
            </w:pPr>
            <w:r>
              <w:rPr>
                <w:b/>
                <w:lang w:val="sr-Latn-RS"/>
              </w:rPr>
              <w:t>263</w:t>
            </w:r>
          </w:p>
        </w:tc>
      </w:tr>
      <w:tr w:rsidR="00434B43" w:rsidRPr="00A22864" w14:paraId="10F897FC" w14:textId="77777777" w:rsidTr="00434B43">
        <w:trPr>
          <w:trHeight w:val="227"/>
          <w:jc w:val="center"/>
        </w:trPr>
        <w:tc>
          <w:tcPr>
            <w:tcW w:w="2775" w:type="pct"/>
            <w:gridSpan w:val="5"/>
            <w:vAlign w:val="center"/>
          </w:tcPr>
          <w:p w14:paraId="0602F6A9" w14:textId="77777777" w:rsidR="00434B43" w:rsidRPr="00A22864" w:rsidRDefault="00434B43" w:rsidP="00434B43">
            <w:pPr>
              <w:spacing w:after="60"/>
              <w:rPr>
                <w:lang w:val="sr-Cyrl-CS"/>
              </w:rPr>
            </w:pPr>
            <w:r w:rsidRPr="00A22864">
              <w:rPr>
                <w:lang w:val="sr-Cyrl-CS"/>
              </w:rPr>
              <w:t>Укупан број радова са SCI (или SSCI) листе</w:t>
            </w:r>
          </w:p>
        </w:tc>
        <w:tc>
          <w:tcPr>
            <w:tcW w:w="2225" w:type="pct"/>
            <w:gridSpan w:val="8"/>
            <w:vAlign w:val="center"/>
          </w:tcPr>
          <w:p w14:paraId="3ABD732F" w14:textId="12E728ED" w:rsidR="00434B43" w:rsidRPr="00CC030C" w:rsidRDefault="00434B43" w:rsidP="00434B43">
            <w:pPr>
              <w:spacing w:after="60"/>
              <w:rPr>
                <w:b/>
                <w:lang w:val="sr-Latn-RS"/>
              </w:rPr>
            </w:pPr>
            <w:r>
              <w:rPr>
                <w:b/>
                <w:lang w:val="sr-Latn-RS"/>
              </w:rPr>
              <w:t>22</w:t>
            </w:r>
          </w:p>
        </w:tc>
      </w:tr>
      <w:tr w:rsidR="00434B43" w:rsidRPr="00A22864" w14:paraId="07A40697" w14:textId="77777777" w:rsidTr="00434B43">
        <w:trPr>
          <w:trHeight w:val="227"/>
          <w:jc w:val="center"/>
        </w:trPr>
        <w:tc>
          <w:tcPr>
            <w:tcW w:w="2775" w:type="pct"/>
            <w:gridSpan w:val="5"/>
            <w:vAlign w:val="center"/>
          </w:tcPr>
          <w:p w14:paraId="2BEB6415" w14:textId="77777777" w:rsidR="00434B43" w:rsidRPr="00A22864" w:rsidRDefault="00434B43" w:rsidP="00434B43">
            <w:pPr>
              <w:spacing w:after="60"/>
              <w:rPr>
                <w:b/>
                <w:lang w:val="sr-Cyrl-CS"/>
              </w:rPr>
            </w:pPr>
            <w:r w:rsidRPr="00A22864">
              <w:rPr>
                <w:lang w:val="sr-Cyrl-CS"/>
              </w:rPr>
              <w:t>Тренутно учешће на пројектима</w:t>
            </w:r>
          </w:p>
        </w:tc>
        <w:tc>
          <w:tcPr>
            <w:tcW w:w="649" w:type="pct"/>
            <w:gridSpan w:val="3"/>
            <w:vAlign w:val="center"/>
          </w:tcPr>
          <w:p w14:paraId="006B42B0" w14:textId="77777777" w:rsidR="00434B43" w:rsidRPr="00A22864" w:rsidRDefault="00434B43" w:rsidP="00434B43">
            <w:pPr>
              <w:spacing w:after="60"/>
              <w:rPr>
                <w:b/>
                <w:lang w:val="sr-Cyrl-CS"/>
              </w:rPr>
            </w:pPr>
            <w:r w:rsidRPr="00A22864">
              <w:rPr>
                <w:lang w:val="sr-Cyrl-CS"/>
              </w:rPr>
              <w:t>Домаћи</w:t>
            </w:r>
          </w:p>
        </w:tc>
        <w:tc>
          <w:tcPr>
            <w:tcW w:w="1575" w:type="pct"/>
            <w:gridSpan w:val="5"/>
            <w:vAlign w:val="center"/>
          </w:tcPr>
          <w:p w14:paraId="2DEA113C" w14:textId="77777777" w:rsidR="00434B43" w:rsidRPr="00A22864" w:rsidRDefault="00434B43" w:rsidP="00434B43">
            <w:pPr>
              <w:spacing w:after="60"/>
              <w:rPr>
                <w:b/>
                <w:lang w:val="sr-Cyrl-CS"/>
              </w:rPr>
            </w:pPr>
            <w:r w:rsidRPr="00A22864">
              <w:rPr>
                <w:lang w:val="sr-Cyrl-CS"/>
              </w:rPr>
              <w:t>Међународни</w:t>
            </w:r>
          </w:p>
        </w:tc>
      </w:tr>
      <w:tr w:rsidR="00434B43" w:rsidRPr="00A22864" w14:paraId="6F93136C" w14:textId="77777777" w:rsidTr="00434B43">
        <w:trPr>
          <w:trHeight w:val="227"/>
          <w:jc w:val="center"/>
        </w:trPr>
        <w:tc>
          <w:tcPr>
            <w:tcW w:w="2775" w:type="pct"/>
            <w:gridSpan w:val="5"/>
            <w:vAlign w:val="center"/>
          </w:tcPr>
          <w:p w14:paraId="3A9D7B07" w14:textId="77777777" w:rsidR="00434B43" w:rsidRPr="00A22864" w:rsidRDefault="00434B43" w:rsidP="00434B43">
            <w:pPr>
              <w:spacing w:after="60"/>
              <w:rPr>
                <w:b/>
                <w:lang w:val="sr-Cyrl-CS"/>
              </w:rPr>
            </w:pPr>
            <w:r w:rsidRPr="00A22864">
              <w:rPr>
                <w:lang w:val="sr-Cyrl-CS"/>
              </w:rPr>
              <w:t>Усавршавања</w:t>
            </w:r>
          </w:p>
        </w:tc>
        <w:tc>
          <w:tcPr>
            <w:tcW w:w="649" w:type="pct"/>
            <w:gridSpan w:val="3"/>
            <w:vAlign w:val="center"/>
          </w:tcPr>
          <w:p w14:paraId="46858529" w14:textId="77777777" w:rsidR="00434B43" w:rsidRPr="00A22864" w:rsidRDefault="00434B43" w:rsidP="00434B43">
            <w:pPr>
              <w:spacing w:after="60"/>
              <w:rPr>
                <w:b/>
                <w:lang w:val="sr-Cyrl-CS"/>
              </w:rPr>
            </w:pPr>
          </w:p>
        </w:tc>
        <w:tc>
          <w:tcPr>
            <w:tcW w:w="1575" w:type="pct"/>
            <w:gridSpan w:val="5"/>
            <w:vAlign w:val="center"/>
          </w:tcPr>
          <w:p w14:paraId="0B524E50" w14:textId="77777777" w:rsidR="00434B43" w:rsidRPr="00A22864" w:rsidRDefault="00434B43" w:rsidP="00434B43">
            <w:pPr>
              <w:spacing w:after="60"/>
              <w:rPr>
                <w:b/>
                <w:lang w:val="sr-Cyrl-CS"/>
              </w:rPr>
            </w:pPr>
          </w:p>
        </w:tc>
      </w:tr>
      <w:tr w:rsidR="00434B43" w:rsidRPr="00A22864" w14:paraId="7431CEFC" w14:textId="77777777" w:rsidTr="00434B43">
        <w:trPr>
          <w:trHeight w:val="227"/>
          <w:jc w:val="center"/>
        </w:trPr>
        <w:tc>
          <w:tcPr>
            <w:tcW w:w="2775" w:type="pct"/>
            <w:gridSpan w:val="5"/>
            <w:vAlign w:val="center"/>
          </w:tcPr>
          <w:p w14:paraId="785D178F" w14:textId="77777777" w:rsidR="00434B43" w:rsidRPr="00A22864" w:rsidRDefault="00434B43" w:rsidP="00434B43">
            <w:pPr>
              <w:spacing w:after="60"/>
              <w:rPr>
                <w:b/>
                <w:lang w:val="sr-Cyrl-CS"/>
              </w:rPr>
            </w:pPr>
            <w:r w:rsidRPr="00A22864">
              <w:rPr>
                <w:lang w:val="sr-Cyrl-CS"/>
              </w:rPr>
              <w:t>Други подаци које сматрате релевантним</w:t>
            </w:r>
          </w:p>
        </w:tc>
        <w:tc>
          <w:tcPr>
            <w:tcW w:w="2225" w:type="pct"/>
            <w:gridSpan w:val="8"/>
            <w:vAlign w:val="center"/>
          </w:tcPr>
          <w:p w14:paraId="265DB692" w14:textId="77777777" w:rsidR="00434B43" w:rsidRPr="00A22864" w:rsidRDefault="00434B43" w:rsidP="00434B43">
            <w:pPr>
              <w:spacing w:after="60"/>
              <w:rPr>
                <w:b/>
                <w:lang w:val="sr-Cyrl-CS"/>
              </w:rPr>
            </w:pPr>
          </w:p>
        </w:tc>
      </w:tr>
    </w:tbl>
    <w:p w14:paraId="35DE927B" w14:textId="77777777" w:rsidR="00505EBB" w:rsidRPr="00975A90" w:rsidRDefault="00FA083F">
      <w:pPr>
        <w:rPr>
          <w:sz w:val="16"/>
          <w:szCs w:val="16"/>
        </w:rPr>
      </w:pPr>
      <w:r w:rsidRPr="00975A90">
        <w:rPr>
          <w:sz w:val="16"/>
          <w:szCs w:val="16"/>
          <w:lang w:val="sr-Cyrl-CS"/>
        </w:rPr>
        <w:t>Максимална дужине не</w:t>
      </w:r>
      <w:r w:rsidRPr="00975A90">
        <w:rPr>
          <w:sz w:val="16"/>
          <w:szCs w:val="16"/>
        </w:rPr>
        <w:t xml:space="preserve"> </w:t>
      </w:r>
      <w:r w:rsidRPr="00975A90">
        <w:rPr>
          <w:sz w:val="16"/>
          <w:szCs w:val="16"/>
          <w:lang w:val="sr-Cyrl-CS"/>
        </w:rPr>
        <w:t>сме бити већа од  2 странице А4</w:t>
      </w:r>
    </w:p>
    <w:sectPr w:rsidR="00505EBB" w:rsidRPr="00975A90" w:rsidSect="00FA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24"/>
    <w:rsid w:val="00063BF2"/>
    <w:rsid w:val="0008113F"/>
    <w:rsid w:val="000949BE"/>
    <w:rsid w:val="0024478E"/>
    <w:rsid w:val="002E3A55"/>
    <w:rsid w:val="00434B43"/>
    <w:rsid w:val="00447721"/>
    <w:rsid w:val="00494424"/>
    <w:rsid w:val="00505EBB"/>
    <w:rsid w:val="0052765B"/>
    <w:rsid w:val="00571BE9"/>
    <w:rsid w:val="006F4947"/>
    <w:rsid w:val="00780C43"/>
    <w:rsid w:val="00800532"/>
    <w:rsid w:val="00820933"/>
    <w:rsid w:val="008353F0"/>
    <w:rsid w:val="00874590"/>
    <w:rsid w:val="008F4902"/>
    <w:rsid w:val="00912C12"/>
    <w:rsid w:val="00943802"/>
    <w:rsid w:val="00975A90"/>
    <w:rsid w:val="009A43FC"/>
    <w:rsid w:val="00A12307"/>
    <w:rsid w:val="00A46009"/>
    <w:rsid w:val="00AB007E"/>
    <w:rsid w:val="00AB00FC"/>
    <w:rsid w:val="00AD561D"/>
    <w:rsid w:val="00B976FB"/>
    <w:rsid w:val="00CC030C"/>
    <w:rsid w:val="00D6036B"/>
    <w:rsid w:val="00EA25FB"/>
    <w:rsid w:val="00EF02A6"/>
    <w:rsid w:val="00F515B5"/>
    <w:rsid w:val="00FA083F"/>
    <w:rsid w:val="00FA753F"/>
    <w:rsid w:val="00FB1795"/>
    <w:rsid w:val="00FC6651"/>
    <w:rsid w:val="00FF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1A10"/>
  <w15:docId w15:val="{D85678BA-227D-435A-98FD-A2D14E06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24"/>
    <w:pPr>
      <w:widowControl w:val="0"/>
      <w:autoSpaceDE w:val="0"/>
      <w:autoSpaceDN w:val="0"/>
      <w:adjustRightInd w:val="0"/>
      <w:spacing w:after="0" w:line="240" w:lineRule="auto"/>
    </w:pPr>
    <w:rPr>
      <w:rFonts w:ascii="Times New Roman" w:eastAsia="Cambria"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A083F"/>
    <w:pPr>
      <w:adjustRightInd/>
    </w:pPr>
    <w:rPr>
      <w:rFonts w:eastAsia="Times New Roman"/>
      <w:sz w:val="22"/>
      <w:szCs w:val="22"/>
      <w:lang w:val="en-US" w:eastAsia="en-US" w:bidi="en-US"/>
    </w:rPr>
  </w:style>
  <w:style w:type="character" w:styleId="Hyperlink">
    <w:name w:val="Hyperlink"/>
    <w:basedOn w:val="DefaultParagraphFont"/>
    <w:unhideWhenUsed/>
    <w:rsid w:val="008353F0"/>
    <w:rPr>
      <w:color w:val="0563C1" w:themeColor="hyperlink"/>
      <w:u w:val="single"/>
    </w:rPr>
  </w:style>
  <w:style w:type="character" w:styleId="UnresolvedMention">
    <w:name w:val="Unresolved Mention"/>
    <w:basedOn w:val="DefaultParagraphFont"/>
    <w:uiPriority w:val="99"/>
    <w:semiHidden/>
    <w:unhideWhenUsed/>
    <w:rsid w:val="008353F0"/>
    <w:rPr>
      <w:color w:val="605E5C"/>
      <w:shd w:val="clear" w:color="auto" w:fill="E1DFDD"/>
    </w:rPr>
  </w:style>
  <w:style w:type="paragraph" w:styleId="ListParagraph">
    <w:name w:val="List Paragraph"/>
    <w:basedOn w:val="Normal"/>
    <w:uiPriority w:val="34"/>
    <w:qFormat/>
    <w:rsid w:val="00F515B5"/>
    <w:pPr>
      <w:ind w:left="720"/>
      <w:contextualSpacing/>
    </w:pPr>
  </w:style>
  <w:style w:type="character" w:customStyle="1" w:styleId="jrnl">
    <w:name w:val="jrnl"/>
    <w:basedOn w:val="DefaultParagraphFont"/>
    <w:rsid w:val="0008113F"/>
  </w:style>
  <w:style w:type="character" w:customStyle="1" w:styleId="apple-converted-space">
    <w:name w:val="apple-converted-space"/>
    <w:basedOn w:val="DefaultParagraphFont"/>
    <w:rsid w:val="0008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7994656" TargetMode="External"/><Relationship Id="rId4" Type="http://schemas.openxmlformats.org/officeDocument/2006/relationships/hyperlink" Target="https://kobson.nb.rs/nauka_u_srbiji.132.html?autor=Kovacevic%20Tomi%20S&amp;samo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Zorica Đokić</cp:lastModifiedBy>
  <cp:revision>6</cp:revision>
  <dcterms:created xsi:type="dcterms:W3CDTF">2025-11-03T11:27:00Z</dcterms:created>
  <dcterms:modified xsi:type="dcterms:W3CDTF">2025-11-26T09:03:00Z</dcterms:modified>
</cp:coreProperties>
</file>