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1117"/>
        <w:gridCol w:w="76"/>
        <w:gridCol w:w="111"/>
        <w:gridCol w:w="1630"/>
        <w:gridCol w:w="252"/>
        <w:gridCol w:w="854"/>
        <w:gridCol w:w="497"/>
        <w:gridCol w:w="424"/>
        <w:gridCol w:w="1012"/>
      </w:tblGrid>
      <w:tr w:rsidR="001543AE" w:rsidRPr="00235708" w:rsidTr="00235708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235708" w:rsidRDefault="001543AE" w:rsidP="00836DEC">
            <w:pPr>
              <w:spacing w:after="60"/>
              <w:rPr>
                <w:lang w:val="sr-Cyrl-CS"/>
              </w:rPr>
            </w:pPr>
            <w:r w:rsidRPr="00235708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235708" w:rsidRDefault="00D549AB" w:rsidP="002F4310">
            <w:pPr>
              <w:spacing w:after="60"/>
              <w:rPr>
                <w:lang w:val="sr-Cyrl-CS"/>
              </w:rPr>
            </w:pPr>
            <w:hyperlink r:id="rId5" w:history="1">
              <w:r w:rsidR="00D17415" w:rsidRPr="00235708">
                <w:rPr>
                  <w:rStyle w:val="Hyperlink"/>
                  <w:lang w:val="sr-Cyrl-CS"/>
                </w:rPr>
                <w:t>Зоран Комазец</w:t>
              </w:r>
            </w:hyperlink>
          </w:p>
        </w:tc>
      </w:tr>
      <w:tr w:rsidR="00235708" w:rsidRPr="00235708" w:rsidTr="00235708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Редовни професор</w:t>
            </w:r>
          </w:p>
        </w:tc>
      </w:tr>
      <w:tr w:rsidR="00235708" w:rsidRPr="00235708" w:rsidTr="00235708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>Оториноларингологија</w:t>
            </w:r>
          </w:p>
        </w:tc>
      </w:tr>
      <w:tr w:rsidR="00235708" w:rsidRPr="00235708" w:rsidTr="00235708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 xml:space="preserve">Година </w:t>
            </w:r>
          </w:p>
        </w:tc>
        <w:tc>
          <w:tcPr>
            <w:tcW w:w="1412" w:type="pct"/>
            <w:gridSpan w:val="4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 xml:space="preserve">Институција </w:t>
            </w:r>
          </w:p>
        </w:tc>
        <w:tc>
          <w:tcPr>
            <w:tcW w:w="2094" w:type="pct"/>
            <w:gridSpan w:val="6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235708" w:rsidRPr="00235708" w:rsidTr="00235708">
        <w:trPr>
          <w:trHeight w:val="227"/>
          <w:jc w:val="center"/>
        </w:trPr>
        <w:tc>
          <w:tcPr>
            <w:tcW w:w="1032" w:type="pct"/>
            <w:gridSpan w:val="2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2015.</w:t>
            </w:r>
          </w:p>
        </w:tc>
        <w:tc>
          <w:tcPr>
            <w:tcW w:w="1412" w:type="pct"/>
            <w:gridSpan w:val="4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6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Оториниларингологија</w:t>
            </w:r>
          </w:p>
        </w:tc>
      </w:tr>
      <w:tr w:rsidR="00235708" w:rsidRPr="00235708" w:rsidTr="00235708">
        <w:trPr>
          <w:trHeight w:val="227"/>
          <w:jc w:val="center"/>
        </w:trPr>
        <w:tc>
          <w:tcPr>
            <w:tcW w:w="1032" w:type="pct"/>
            <w:gridSpan w:val="2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2004.</w:t>
            </w:r>
          </w:p>
        </w:tc>
        <w:tc>
          <w:tcPr>
            <w:tcW w:w="1412" w:type="pct"/>
            <w:gridSpan w:val="4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6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Оториниларингологија</w:t>
            </w:r>
          </w:p>
        </w:tc>
      </w:tr>
      <w:tr w:rsidR="00235708" w:rsidRPr="00235708" w:rsidTr="00235708">
        <w:trPr>
          <w:trHeight w:val="227"/>
          <w:jc w:val="center"/>
        </w:trPr>
        <w:tc>
          <w:tcPr>
            <w:tcW w:w="1032" w:type="pct"/>
            <w:gridSpan w:val="2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Специјализација</w:t>
            </w:r>
          </w:p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Субспецијализација</w:t>
            </w:r>
          </w:p>
        </w:tc>
        <w:tc>
          <w:tcPr>
            <w:tcW w:w="462" w:type="pct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2000.</w:t>
            </w:r>
          </w:p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2003.</w:t>
            </w:r>
          </w:p>
        </w:tc>
        <w:tc>
          <w:tcPr>
            <w:tcW w:w="1412" w:type="pct"/>
            <w:gridSpan w:val="4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Медицински факултет Нови Сад</w:t>
            </w:r>
          </w:p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6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Оториниларингологија</w:t>
            </w:r>
          </w:p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Аудиологија</w:t>
            </w:r>
          </w:p>
        </w:tc>
      </w:tr>
      <w:tr w:rsidR="00235708" w:rsidRPr="00235708" w:rsidTr="00235708">
        <w:trPr>
          <w:trHeight w:val="227"/>
          <w:jc w:val="center"/>
        </w:trPr>
        <w:tc>
          <w:tcPr>
            <w:tcW w:w="1032" w:type="pct"/>
            <w:gridSpan w:val="2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1999.</w:t>
            </w:r>
          </w:p>
        </w:tc>
        <w:tc>
          <w:tcPr>
            <w:tcW w:w="1412" w:type="pct"/>
            <w:gridSpan w:val="4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6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Физиологија</w:t>
            </w:r>
          </w:p>
        </w:tc>
      </w:tr>
      <w:tr w:rsidR="00235708" w:rsidRPr="00235708" w:rsidTr="00235708">
        <w:trPr>
          <w:trHeight w:val="227"/>
          <w:jc w:val="center"/>
        </w:trPr>
        <w:tc>
          <w:tcPr>
            <w:tcW w:w="1032" w:type="pct"/>
            <w:gridSpan w:val="2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1988.</w:t>
            </w:r>
          </w:p>
        </w:tc>
        <w:tc>
          <w:tcPr>
            <w:tcW w:w="1412" w:type="pct"/>
            <w:gridSpan w:val="4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6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Доктор медицине</w:t>
            </w:r>
          </w:p>
        </w:tc>
      </w:tr>
      <w:tr w:rsidR="00235708" w:rsidRPr="0023570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b/>
                <w:lang w:val="sr-Cyrl-CS"/>
              </w:rPr>
              <w:t>Списак дисертација</w:t>
            </w:r>
            <w:r w:rsidRPr="00235708">
              <w:rPr>
                <w:b/>
              </w:rPr>
              <w:t xml:space="preserve">-докторских уметничких пројеката </w:t>
            </w:r>
            <w:r w:rsidRPr="0023570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35708" w:rsidRPr="00235708" w:rsidTr="00235708">
        <w:trPr>
          <w:trHeight w:val="227"/>
          <w:jc w:val="center"/>
        </w:trPr>
        <w:tc>
          <w:tcPr>
            <w:tcW w:w="248" w:type="pct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:rsidR="00235708" w:rsidRPr="00235708" w:rsidRDefault="00235708" w:rsidP="00235708">
            <w:pPr>
              <w:spacing w:after="60"/>
            </w:pPr>
            <w:r w:rsidRPr="00235708">
              <w:rPr>
                <w:lang w:val="sr-Cyrl-CS"/>
              </w:rPr>
              <w:t>Наслов дисертације</w:t>
            </w:r>
            <w:r w:rsidRPr="00235708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>** одбрањена</w:t>
            </w:r>
          </w:p>
        </w:tc>
      </w:tr>
      <w:tr w:rsidR="00235708" w:rsidRPr="00235708" w:rsidTr="00235708">
        <w:trPr>
          <w:trHeight w:val="227"/>
          <w:jc w:val="center"/>
        </w:trPr>
        <w:tc>
          <w:tcPr>
            <w:tcW w:w="248" w:type="pct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4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>ПРОЦЕНА ЕГЗЕКУТИВНИХ ФУНКЦИЈА И АРИТМЕТИЧКИХ ВЕШТИНА УЧЕНИКА СА КОХЛЕАРНИМ ИМПЛАНТОМ</w:t>
            </w:r>
          </w:p>
        </w:tc>
        <w:tc>
          <w:tcPr>
            <w:tcW w:w="928" w:type="pct"/>
            <w:gridSpan w:val="4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>Рената Шкрбић</w:t>
            </w:r>
          </w:p>
        </w:tc>
        <w:tc>
          <w:tcPr>
            <w:tcW w:w="606" w:type="pct"/>
            <w:gridSpan w:val="2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>2018.</w:t>
            </w:r>
          </w:p>
        </w:tc>
      </w:tr>
      <w:tr w:rsidR="00235708" w:rsidRPr="00235708" w:rsidTr="00235708">
        <w:trPr>
          <w:trHeight w:val="227"/>
          <w:jc w:val="center"/>
        </w:trPr>
        <w:tc>
          <w:tcPr>
            <w:tcW w:w="248" w:type="pct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>2.</w:t>
            </w:r>
          </w:p>
        </w:tc>
        <w:tc>
          <w:tcPr>
            <w:tcW w:w="2574" w:type="pct"/>
            <w:gridSpan w:val="4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>ГОВОРНА РЕХАБИЛИТАЦИЈА ТОТАЛНО ЛАРИНГЕКТОМИСАНИХ ПАЦИЈЕНАТА УГРАДЊОМ ВОКАЛНИХ ПРОТЕЗА</w:t>
            </w:r>
          </w:p>
        </w:tc>
        <w:tc>
          <w:tcPr>
            <w:tcW w:w="928" w:type="pct"/>
            <w:gridSpan w:val="4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>Данијела Драгичевић</w:t>
            </w:r>
          </w:p>
        </w:tc>
        <w:tc>
          <w:tcPr>
            <w:tcW w:w="606" w:type="pct"/>
            <w:gridSpan w:val="2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>2013.</w:t>
            </w:r>
          </w:p>
        </w:tc>
      </w:tr>
      <w:tr w:rsidR="00235708" w:rsidRPr="0023570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>*Година  у којој је дисертација</w:t>
            </w:r>
            <w:r w:rsidRPr="00235708">
              <w:t xml:space="preserve">-докторски уметнички пројекат </w:t>
            </w:r>
            <w:r w:rsidRPr="00235708">
              <w:rPr>
                <w:lang w:val="sr-Cyrl-CS"/>
              </w:rPr>
              <w:t xml:space="preserve"> пријављена</w:t>
            </w:r>
            <w:r w:rsidRPr="00235708">
              <w:t xml:space="preserve">-пријављен </w:t>
            </w:r>
            <w:r w:rsidRPr="00235708">
              <w:rPr>
                <w:lang w:val="sr-Cyrl-CS"/>
              </w:rPr>
              <w:t>(само за дисертације</w:t>
            </w:r>
            <w:r w:rsidRPr="00235708">
              <w:t xml:space="preserve">-докторске уметничке пројекте </w:t>
            </w:r>
            <w:r w:rsidRPr="00235708">
              <w:rPr>
                <w:lang w:val="sr-Cyrl-CS"/>
              </w:rPr>
              <w:t xml:space="preserve"> које су у току), ** Година у којој је дисертација</w:t>
            </w:r>
            <w:r w:rsidRPr="00235708">
              <w:t xml:space="preserve">-докторски уметнички пројекат </w:t>
            </w:r>
            <w:r w:rsidRPr="00235708">
              <w:rPr>
                <w:lang w:val="sr-Cyrl-CS"/>
              </w:rPr>
              <w:t xml:space="preserve"> одбрањена (само за дисертације</w:t>
            </w:r>
            <w:r w:rsidRPr="00235708">
              <w:t xml:space="preserve">-докторско уметничке пројекте </w:t>
            </w:r>
            <w:r w:rsidRPr="00235708">
              <w:rPr>
                <w:lang w:val="sr-Cyrl-CS"/>
              </w:rPr>
              <w:t xml:space="preserve"> из ранијег периода)</w:t>
            </w:r>
          </w:p>
        </w:tc>
      </w:tr>
      <w:tr w:rsidR="00235708" w:rsidRPr="0023570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35708" w:rsidRPr="00235708" w:rsidRDefault="00235708" w:rsidP="00882D0F">
            <w:pPr>
              <w:spacing w:after="60"/>
              <w:rPr>
                <w:b/>
              </w:rPr>
            </w:pPr>
            <w:r w:rsidRPr="00235708">
              <w:rPr>
                <w:b/>
                <w:lang w:val="sr-Cyrl-CS"/>
              </w:rPr>
              <w:t>Категоризација публикације</w:t>
            </w:r>
            <w:r w:rsidRPr="00235708">
              <w:rPr>
                <w:b/>
              </w:rPr>
              <w:t xml:space="preserve"> научних радова  из области датог студијског програма </w:t>
            </w:r>
            <w:r w:rsidRPr="00235708">
              <w:rPr>
                <w:b/>
                <w:lang w:val="sr-Cyrl-CS"/>
              </w:rPr>
              <w:t xml:space="preserve"> према класификацији ре</w:t>
            </w:r>
            <w:r w:rsidRPr="00235708">
              <w:rPr>
                <w:b/>
              </w:rPr>
              <w:t>с</w:t>
            </w:r>
            <w:r w:rsidRPr="0023570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235708" w:rsidRPr="00235708" w:rsidTr="00235708">
        <w:trPr>
          <w:trHeight w:val="227"/>
          <w:jc w:val="center"/>
        </w:trPr>
        <w:tc>
          <w:tcPr>
            <w:tcW w:w="248" w:type="pct"/>
            <w:vAlign w:val="center"/>
          </w:tcPr>
          <w:p w:rsidR="00235708" w:rsidRPr="00235708" w:rsidRDefault="00235708" w:rsidP="00235708">
            <w:pPr>
              <w:spacing w:after="60"/>
              <w:ind w:left="-23"/>
              <w:jc w:val="center"/>
            </w:pPr>
            <w:r w:rsidRPr="00235708">
              <w:t>Р.б.</w:t>
            </w:r>
          </w:p>
        </w:tc>
        <w:tc>
          <w:tcPr>
            <w:tcW w:w="3389" w:type="pct"/>
            <w:gridSpan w:val="7"/>
          </w:tcPr>
          <w:p w:rsidR="00235708" w:rsidRPr="00235708" w:rsidRDefault="00235708" w:rsidP="0023570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235708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235708" w:rsidRPr="00235708" w:rsidRDefault="00235708" w:rsidP="0023570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35708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235708" w:rsidRPr="00235708" w:rsidRDefault="00235708" w:rsidP="0023570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35708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235708" w:rsidRPr="00235708" w:rsidRDefault="00235708" w:rsidP="0023570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35708">
              <w:rPr>
                <w:sz w:val="20"/>
                <w:szCs w:val="20"/>
              </w:rPr>
              <w:t>IF</w:t>
            </w:r>
          </w:p>
        </w:tc>
      </w:tr>
      <w:tr w:rsidR="0020371A" w:rsidRPr="00235708" w:rsidTr="003026EF">
        <w:trPr>
          <w:trHeight w:val="227"/>
          <w:jc w:val="center"/>
        </w:trPr>
        <w:tc>
          <w:tcPr>
            <w:tcW w:w="248" w:type="pct"/>
            <w:vAlign w:val="center"/>
          </w:tcPr>
          <w:p w:rsidR="0020371A" w:rsidRPr="0020371A" w:rsidRDefault="0020371A" w:rsidP="005734A6">
            <w:pPr>
              <w:jc w:val="center"/>
            </w:pPr>
            <w:r>
              <w:t>1.</w:t>
            </w:r>
          </w:p>
        </w:tc>
        <w:tc>
          <w:tcPr>
            <w:tcW w:w="3389" w:type="pct"/>
            <w:gridSpan w:val="7"/>
          </w:tcPr>
          <w:p w:rsidR="0020371A" w:rsidRPr="0020371A" w:rsidRDefault="0020371A" w:rsidP="00BA5E34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Lemajić-Komazec</w:t>
            </w:r>
            <w:proofErr w:type="spellEnd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S</w:t>
            </w:r>
            <w:r w:rsidRPr="0020371A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371A">
              <w:rPr>
                <w:rStyle w:val="standard-view-style"/>
                <w:rFonts w:ascii="Times New Roman" w:hAnsi="Times New Roman"/>
                <w:sz w:val="20"/>
                <w:szCs w:val="20"/>
              </w:rPr>
              <w:t>Komazec</w:t>
            </w:r>
            <w:proofErr w:type="spellEnd"/>
            <w:r w:rsidRPr="0020371A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 Z,</w:t>
            </w:r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Buljčik</w:t>
            </w:r>
            <w:proofErr w:type="spellEnd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Čupić</w:t>
            </w:r>
            <w:proofErr w:type="spellEnd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Knežević</w:t>
            </w:r>
            <w:proofErr w:type="spellEnd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S, </w:t>
            </w:r>
            <w:proofErr w:type="spellStart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Vajs</w:t>
            </w:r>
            <w:proofErr w:type="spellEnd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O. </w:t>
            </w:r>
            <w:bookmarkStart w:id="0" w:name="Result_1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C</w:t>
            </w:r>
            <w:hyperlink r:id="rId6" w:tooltip="COMPARISON OF HEARING THRESHOLD ESTIMATION USING AUDITORY STEADY STATE RESPONSES AND BRAINSTEM AUDITORY EVOKED POTENTIALS IN CHILDREN." w:history="1">
              <w:r w:rsidRPr="0020371A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omparison</w:t>
              </w:r>
              <w:r w:rsidRPr="0020371A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of</w:t>
              </w:r>
              <w:r w:rsidRPr="0020371A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hearing</w:t>
              </w:r>
              <w:r w:rsidRPr="0020371A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threshold</w:t>
              </w:r>
              <w:r w:rsidRPr="0020371A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estimation</w:t>
              </w:r>
              <w:r w:rsidRPr="0020371A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using</w:t>
              </w:r>
              <w:r w:rsidRPr="0020371A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auditory</w:t>
              </w:r>
              <w:r w:rsidRPr="0020371A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steady</w:t>
              </w:r>
              <w:r w:rsidRPr="0020371A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state</w:t>
              </w:r>
              <w:r w:rsidRPr="0020371A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responses</w:t>
              </w:r>
              <w:r w:rsidRPr="0020371A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and</w:t>
              </w:r>
              <w:r w:rsidRPr="0020371A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brainstem</w:t>
              </w:r>
              <w:r w:rsidRPr="0020371A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auditory</w:t>
              </w:r>
              <w:r w:rsidRPr="0020371A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evoked</w:t>
              </w:r>
              <w:r w:rsidRPr="0020371A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potentials</w:t>
              </w:r>
              <w:r w:rsidRPr="0020371A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in</w:t>
              </w:r>
              <w:r w:rsidRPr="0020371A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 xml:space="preserve"> </w:t>
              </w:r>
              <w:r w:rsidRPr="0020371A">
                <w:rPr>
                  <w:rStyle w:val="Strong"/>
                  <w:rFonts w:ascii="Times New Roman" w:hAnsi="Times New Roman"/>
                  <w:bCs/>
                  <w:sz w:val="20"/>
                  <w:szCs w:val="20"/>
                </w:rPr>
                <w:t>children</w:t>
              </w:r>
            </w:hyperlink>
            <w:bookmarkEnd w:id="0"/>
            <w:r w:rsidRPr="0020371A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Acta</w:t>
            </w:r>
            <w:proofErr w:type="spellEnd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Clin</w:t>
            </w:r>
            <w:proofErr w:type="spellEnd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Croat.</w:t>
            </w:r>
            <w:proofErr w:type="gramEnd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2019</w:t>
            </w:r>
            <w:proofErr w:type="gramStart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;58</w:t>
            </w:r>
            <w:proofErr w:type="gramEnd"/>
            <w:r w:rsidRPr="0020371A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(4):701-8.</w:t>
            </w:r>
          </w:p>
        </w:tc>
        <w:tc>
          <w:tcPr>
            <w:tcW w:w="496" w:type="pct"/>
            <w:gridSpan w:val="2"/>
            <w:vAlign w:val="center"/>
          </w:tcPr>
          <w:p w:rsidR="0020371A" w:rsidRPr="0020371A" w:rsidRDefault="0020371A" w:rsidP="00BA5E34">
            <w:r w:rsidRPr="0020371A">
              <w:t>146/165</w:t>
            </w:r>
          </w:p>
        </w:tc>
        <w:tc>
          <w:tcPr>
            <w:tcW w:w="413" w:type="pct"/>
            <w:gridSpan w:val="2"/>
            <w:vAlign w:val="center"/>
          </w:tcPr>
          <w:p w:rsidR="0020371A" w:rsidRPr="0020371A" w:rsidRDefault="0020371A" w:rsidP="00BA5E34">
            <w:pPr>
              <w:jc w:val="center"/>
            </w:pPr>
            <w:r w:rsidRPr="0020371A">
              <w:t>23</w:t>
            </w:r>
          </w:p>
        </w:tc>
        <w:tc>
          <w:tcPr>
            <w:tcW w:w="454" w:type="pct"/>
            <w:vAlign w:val="center"/>
          </w:tcPr>
          <w:p w:rsidR="0020371A" w:rsidRPr="0020371A" w:rsidRDefault="0020371A" w:rsidP="00BA5E34">
            <w:pPr>
              <w:jc w:val="center"/>
            </w:pPr>
            <w:r w:rsidRPr="0020371A">
              <w:t>0.532</w:t>
            </w:r>
          </w:p>
        </w:tc>
      </w:tr>
      <w:tr w:rsidR="00882D0F" w:rsidRPr="00235708" w:rsidTr="003026EF">
        <w:trPr>
          <w:trHeight w:val="227"/>
          <w:jc w:val="center"/>
        </w:trPr>
        <w:tc>
          <w:tcPr>
            <w:tcW w:w="248" w:type="pct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2.</w:t>
            </w:r>
          </w:p>
        </w:tc>
        <w:tc>
          <w:tcPr>
            <w:tcW w:w="3389" w:type="pct"/>
            <w:gridSpan w:val="7"/>
          </w:tcPr>
          <w:p w:rsidR="00882D0F" w:rsidRPr="0020371A" w:rsidRDefault="00882D0F" w:rsidP="005734A6">
            <w:pPr>
              <w:jc w:val="both"/>
            </w:pPr>
            <w:r w:rsidRPr="0020371A">
              <w:t xml:space="preserve">Lemajić-Komazec S, </w:t>
            </w:r>
            <w:r w:rsidRPr="0020371A">
              <w:rPr>
                <w:b/>
              </w:rPr>
              <w:t>Komazec Z,</w:t>
            </w:r>
            <w:r w:rsidRPr="0020371A">
              <w:t xml:space="preserve"> Vlaški Lj, Buljčik-Čupić M, Savović S, Mihalović D, Sokolovac I. </w:t>
            </w:r>
            <w:r w:rsidR="00D549AB" w:rsidRPr="0020371A">
              <w:fldChar w:fldCharType="begin"/>
            </w:r>
            <w:r w:rsidRPr="0020371A">
              <w:instrText xml:space="preserve"> HYPERLINK "http://www.doiserbia.nb.rs/img/doi/0042-8450/2017%20OnLine-First/0042-84501700093L.pdf" </w:instrText>
            </w:r>
            <w:r w:rsidR="00D549AB" w:rsidRPr="0020371A">
              <w:fldChar w:fldCharType="separate"/>
            </w:r>
            <w:r w:rsidRPr="0020371A">
              <w:rPr>
                <w:rStyle w:val="Hyperlink"/>
              </w:rPr>
              <w:t>Video head impulse test in children after cochlear implantation</w:t>
            </w:r>
            <w:r w:rsidR="00D549AB" w:rsidRPr="0020371A">
              <w:fldChar w:fldCharType="end"/>
            </w:r>
            <w:r w:rsidRPr="0020371A">
              <w:t>. Vojnosanitet Pregl. 2019;76(3):284-9.</w:t>
            </w:r>
          </w:p>
        </w:tc>
        <w:tc>
          <w:tcPr>
            <w:tcW w:w="496" w:type="pct"/>
            <w:gridSpan w:val="2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882D0F" w:rsidRPr="0020371A" w:rsidRDefault="00882D0F" w:rsidP="005734A6">
            <w:pPr>
              <w:jc w:val="center"/>
              <w:rPr>
                <w:lang w:val="en-US"/>
              </w:rPr>
            </w:pPr>
          </w:p>
          <w:p w:rsidR="00882D0F" w:rsidRPr="0020371A" w:rsidRDefault="00882D0F" w:rsidP="005734A6">
            <w:pPr>
              <w:jc w:val="center"/>
              <w:rPr>
                <w:lang w:val="en-US"/>
              </w:rPr>
            </w:pPr>
            <w:r w:rsidRPr="0020371A">
              <w:rPr>
                <w:lang w:val="sr-Cyrl-CS"/>
              </w:rPr>
              <w:t>23</w:t>
            </w:r>
          </w:p>
          <w:p w:rsidR="00882D0F" w:rsidRPr="0020371A" w:rsidRDefault="00882D0F" w:rsidP="005734A6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0.152</w:t>
            </w:r>
          </w:p>
        </w:tc>
      </w:tr>
      <w:tr w:rsidR="00882D0F" w:rsidRPr="00235708" w:rsidTr="003026EF">
        <w:trPr>
          <w:trHeight w:val="227"/>
          <w:jc w:val="center"/>
        </w:trPr>
        <w:tc>
          <w:tcPr>
            <w:tcW w:w="248" w:type="pct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3.</w:t>
            </w:r>
          </w:p>
        </w:tc>
        <w:tc>
          <w:tcPr>
            <w:tcW w:w="3389" w:type="pct"/>
            <w:gridSpan w:val="7"/>
          </w:tcPr>
          <w:p w:rsidR="00882D0F" w:rsidRPr="0020371A" w:rsidRDefault="00D549AB" w:rsidP="005734A6">
            <w:pPr>
              <w:jc w:val="both"/>
            </w:pPr>
            <w:hyperlink r:id="rId7" w:history="1">
              <w:r w:rsidR="00882D0F" w:rsidRPr="0020371A">
                <w:rPr>
                  <w:rStyle w:val="Hyperlink"/>
                  <w:color w:val="auto"/>
                  <w:u w:val="none"/>
                </w:rPr>
                <w:t>Jovancevic Lj</w:t>
              </w:r>
            </w:hyperlink>
            <w:r w:rsidR="00882D0F" w:rsidRPr="0020371A">
              <w:t xml:space="preserve">, </w:t>
            </w:r>
            <w:hyperlink r:id="rId8" w:history="1">
              <w:r w:rsidR="00882D0F" w:rsidRPr="0020371A">
                <w:rPr>
                  <w:rStyle w:val="Hyperlink"/>
                  <w:color w:val="auto"/>
                  <w:u w:val="none"/>
                </w:rPr>
                <w:t>Canadanovic VM, </w:t>
              </w:r>
            </w:hyperlink>
            <w:r w:rsidR="00882D0F" w:rsidRPr="0020371A">
              <w:t xml:space="preserve"> </w:t>
            </w:r>
            <w:hyperlink r:id="rId9" w:history="1">
              <w:r w:rsidR="00882D0F" w:rsidRPr="0020371A">
                <w:rPr>
                  <w:rStyle w:val="Hyperlink"/>
                  <w:color w:val="auto"/>
                  <w:u w:val="none"/>
                </w:rPr>
                <w:t>Savovic S, </w:t>
              </w:r>
            </w:hyperlink>
            <w:r w:rsidR="00882D0F" w:rsidRPr="0020371A">
              <w:t xml:space="preserve"> </w:t>
            </w:r>
            <w:hyperlink r:id="rId10" w:history="1">
              <w:r w:rsidR="00882D0F" w:rsidRPr="0020371A">
                <w:rPr>
                  <w:rStyle w:val="Hyperlink"/>
                  <w:color w:val="auto"/>
                  <w:u w:val="none"/>
                </w:rPr>
                <w:t>Zvezdin BS, </w:t>
              </w:r>
            </w:hyperlink>
            <w:r w:rsidR="00882D0F" w:rsidRPr="0020371A">
              <w:t xml:space="preserve"> </w:t>
            </w:r>
            <w:hyperlink r:id="rId11" w:history="1">
              <w:r w:rsidR="00882D0F" w:rsidRPr="0020371A">
                <w:rPr>
                  <w:rStyle w:val="Hyperlink"/>
                  <w:b/>
                  <w:color w:val="auto"/>
                  <w:u w:val="none"/>
                </w:rPr>
                <w:t>Komazec Z</w:t>
              </w:r>
              <w:r w:rsidR="00882D0F" w:rsidRPr="0020371A">
                <w:rPr>
                  <w:rStyle w:val="Hyperlink"/>
                  <w:color w:val="auto"/>
                  <w:u w:val="none"/>
                </w:rPr>
                <w:t>.</w:t>
              </w:r>
            </w:hyperlink>
            <w:r w:rsidR="00882D0F" w:rsidRPr="0020371A">
              <w:t xml:space="preserve"> </w:t>
            </w:r>
            <w:r w:rsidRPr="0020371A">
              <w:rPr>
                <w:lang w:val="en-US"/>
              </w:rPr>
              <w:fldChar w:fldCharType="begin"/>
            </w:r>
            <w:r w:rsidR="00882D0F" w:rsidRPr="0020371A">
              <w:rPr>
                <w:lang w:val="en-US"/>
              </w:rPr>
              <w:instrText xml:space="preserve"> HYPERLINK "http://www.doiserbia.nb.rs/img/doi/0042-8450/2017/0042-84501600141J.pdf" </w:instrText>
            </w:r>
            <w:r w:rsidRPr="0020371A">
              <w:rPr>
                <w:lang w:val="en-US"/>
              </w:rPr>
              <w:fldChar w:fldCharType="separate"/>
            </w:r>
            <w:r w:rsidR="00882D0F" w:rsidRPr="0020371A">
              <w:rPr>
                <w:rStyle w:val="Hyperlink"/>
                <w:lang w:val="en-US"/>
              </w:rPr>
              <w:t xml:space="preserve">Silent sinus syndrome - one more reason for an ophthalmologist to have a </w:t>
            </w:r>
            <w:proofErr w:type="spellStart"/>
            <w:r w:rsidR="00882D0F" w:rsidRPr="0020371A">
              <w:rPr>
                <w:rStyle w:val="Hyperlink"/>
                <w:lang w:val="en-US"/>
              </w:rPr>
              <w:t>rhinologist</w:t>
            </w:r>
            <w:proofErr w:type="spellEnd"/>
            <w:r w:rsidR="00882D0F" w:rsidRPr="0020371A">
              <w:rPr>
                <w:rStyle w:val="Hyperlink"/>
                <w:lang w:val="en-US"/>
              </w:rPr>
              <w:t xml:space="preserve"> as a good friend</w:t>
            </w:r>
            <w:r w:rsidRPr="0020371A">
              <w:rPr>
                <w:lang w:val="en-US"/>
              </w:rPr>
              <w:fldChar w:fldCharType="end"/>
            </w:r>
            <w:r w:rsidR="00882D0F" w:rsidRPr="0020371A">
              <w:rPr>
                <w:lang w:val="en-US"/>
              </w:rPr>
              <w:t xml:space="preserve">. </w:t>
            </w:r>
            <w:proofErr w:type="spellStart"/>
            <w:r w:rsidR="00882D0F" w:rsidRPr="0020371A">
              <w:rPr>
                <w:lang w:val="en-US"/>
              </w:rPr>
              <w:t>Vojnosanit</w:t>
            </w:r>
            <w:proofErr w:type="spellEnd"/>
            <w:r w:rsidR="00882D0F" w:rsidRPr="0020371A">
              <w:rPr>
                <w:lang w:val="en-US"/>
              </w:rPr>
              <w:t xml:space="preserve"> Pregl. 2017</w:t>
            </w:r>
            <w:proofErr w:type="gramStart"/>
            <w:r w:rsidR="00882D0F" w:rsidRPr="0020371A">
              <w:rPr>
                <w:lang w:val="en-US"/>
              </w:rPr>
              <w:t>;74</w:t>
            </w:r>
            <w:proofErr w:type="gramEnd"/>
            <w:r w:rsidR="00882D0F" w:rsidRPr="0020371A">
              <w:rPr>
                <w:lang w:val="en-US"/>
              </w:rPr>
              <w:t>(1):59-63.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  <w:gridCol w:w="8153"/>
            </w:tblGrid>
            <w:tr w:rsidR="00882D0F" w:rsidRPr="0020371A" w:rsidTr="005734A6">
              <w:trPr>
                <w:tblCellSpacing w:w="15" w:type="dxa"/>
              </w:trPr>
              <w:tc>
                <w:tcPr>
                  <w:tcW w:w="1252" w:type="dxa"/>
                  <w:vAlign w:val="center"/>
                  <w:hideMark/>
                </w:tcPr>
                <w:p w:rsidR="00882D0F" w:rsidRPr="0020371A" w:rsidRDefault="00882D0F" w:rsidP="005734A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108" w:type="dxa"/>
                  <w:vAlign w:val="center"/>
                  <w:hideMark/>
                </w:tcPr>
                <w:p w:rsidR="00882D0F" w:rsidRPr="0020371A" w:rsidRDefault="00882D0F" w:rsidP="005734A6">
                  <w:pPr>
                    <w:rPr>
                      <w:lang w:val="en-US"/>
                    </w:rPr>
                  </w:pPr>
                </w:p>
              </w:tc>
            </w:tr>
          </w:tbl>
          <w:p w:rsidR="00882D0F" w:rsidRPr="0020371A" w:rsidRDefault="00882D0F" w:rsidP="005734A6">
            <w:pPr>
              <w:jc w:val="both"/>
            </w:pPr>
          </w:p>
        </w:tc>
        <w:tc>
          <w:tcPr>
            <w:tcW w:w="496" w:type="pct"/>
            <w:gridSpan w:val="2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144/154</w:t>
            </w:r>
          </w:p>
        </w:tc>
        <w:tc>
          <w:tcPr>
            <w:tcW w:w="413" w:type="pct"/>
            <w:gridSpan w:val="2"/>
            <w:vAlign w:val="center"/>
          </w:tcPr>
          <w:p w:rsidR="00882D0F" w:rsidRPr="0020371A" w:rsidRDefault="00882D0F" w:rsidP="005734A6">
            <w:pPr>
              <w:jc w:val="center"/>
            </w:pPr>
          </w:p>
          <w:p w:rsidR="00882D0F" w:rsidRPr="0020371A" w:rsidRDefault="00882D0F" w:rsidP="005734A6">
            <w:pPr>
              <w:jc w:val="center"/>
            </w:pPr>
            <w:r w:rsidRPr="0020371A">
              <w:t>23</w:t>
            </w:r>
          </w:p>
          <w:p w:rsidR="00882D0F" w:rsidRPr="0020371A" w:rsidRDefault="00882D0F" w:rsidP="005734A6">
            <w:pPr>
              <w:jc w:val="center"/>
            </w:pPr>
          </w:p>
        </w:tc>
        <w:tc>
          <w:tcPr>
            <w:tcW w:w="454" w:type="pct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0.405</w:t>
            </w:r>
          </w:p>
        </w:tc>
      </w:tr>
      <w:tr w:rsidR="00882D0F" w:rsidRPr="00235708" w:rsidTr="003026EF">
        <w:trPr>
          <w:trHeight w:val="227"/>
          <w:jc w:val="center"/>
        </w:trPr>
        <w:tc>
          <w:tcPr>
            <w:tcW w:w="248" w:type="pct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4.</w:t>
            </w:r>
          </w:p>
        </w:tc>
        <w:tc>
          <w:tcPr>
            <w:tcW w:w="3389" w:type="pct"/>
            <w:gridSpan w:val="7"/>
          </w:tcPr>
          <w:p w:rsidR="00882D0F" w:rsidRPr="0020371A" w:rsidRDefault="00882D0F" w:rsidP="005734A6">
            <w:pPr>
              <w:jc w:val="both"/>
            </w:pPr>
            <w:r w:rsidRPr="0020371A">
              <w:t xml:space="preserve">Jovic MR, Dragičević D, </w:t>
            </w:r>
            <w:r w:rsidRPr="0020371A">
              <w:rPr>
                <w:b/>
              </w:rPr>
              <w:t>Komazec Z</w:t>
            </w:r>
            <w:r w:rsidRPr="0020371A">
              <w:t xml:space="preserve">, Mitrović S, Janjević D, Gašić J. </w:t>
            </w:r>
            <w:hyperlink r:id="rId12" w:history="1">
              <w:r w:rsidRPr="0020371A">
                <w:rPr>
                  <w:rStyle w:val="Hyperlink"/>
                  <w:bCs/>
                </w:rPr>
                <w:t>Laryngotracheal stenosis and restenosis. What has the influence on the final outcome</w:t>
              </w:r>
            </w:hyperlink>
            <w:r w:rsidRPr="0020371A">
              <w:rPr>
                <w:bCs/>
              </w:rPr>
              <w:t>?</w:t>
            </w:r>
            <w:r w:rsidRPr="0020371A">
              <w:t xml:space="preserve"> Eur Arch Otorhinolaryngol. 2012;269(7):1805-11.</w:t>
            </w:r>
          </w:p>
        </w:tc>
        <w:tc>
          <w:tcPr>
            <w:tcW w:w="496" w:type="pct"/>
            <w:gridSpan w:val="2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18/44</w:t>
            </w:r>
          </w:p>
        </w:tc>
        <w:tc>
          <w:tcPr>
            <w:tcW w:w="413" w:type="pct"/>
            <w:gridSpan w:val="2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22</w:t>
            </w:r>
          </w:p>
        </w:tc>
        <w:tc>
          <w:tcPr>
            <w:tcW w:w="454" w:type="pct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1.458</w:t>
            </w:r>
          </w:p>
        </w:tc>
      </w:tr>
      <w:tr w:rsidR="00882D0F" w:rsidRPr="00235708" w:rsidTr="003026EF">
        <w:trPr>
          <w:trHeight w:val="227"/>
          <w:jc w:val="center"/>
        </w:trPr>
        <w:tc>
          <w:tcPr>
            <w:tcW w:w="248" w:type="pct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5.</w:t>
            </w:r>
          </w:p>
        </w:tc>
        <w:tc>
          <w:tcPr>
            <w:tcW w:w="3389" w:type="pct"/>
            <w:gridSpan w:val="7"/>
          </w:tcPr>
          <w:p w:rsidR="00882D0F" w:rsidRPr="0020371A" w:rsidRDefault="00882D0F" w:rsidP="005734A6">
            <w:pPr>
              <w:jc w:val="both"/>
            </w:pPr>
            <w:r w:rsidRPr="0020371A">
              <w:t xml:space="preserve">Jović R, </w:t>
            </w:r>
            <w:r w:rsidRPr="0020371A">
              <w:rPr>
                <w:b/>
              </w:rPr>
              <w:t>Komazec Z</w:t>
            </w:r>
            <w:r w:rsidRPr="0020371A">
              <w:t xml:space="preserve">, Mitrović S, Dragičević D, Janjević D. </w:t>
            </w:r>
            <w:hyperlink r:id="rId13" w:history="1">
              <w:r w:rsidRPr="0020371A">
                <w:rPr>
                  <w:rStyle w:val="Hyperlink"/>
                </w:rPr>
                <w:t>Surgical treatment of primary tracheal dyskinesia in a 14-month-old child - case report.</w:t>
              </w:r>
            </w:hyperlink>
            <w:r w:rsidRPr="0020371A">
              <w:t xml:space="preserve"> </w:t>
            </w:r>
            <w:r w:rsidRPr="0020371A">
              <w:rPr>
                <w:rStyle w:val="ti2"/>
                <w:sz w:val="20"/>
                <w:szCs w:val="20"/>
              </w:rPr>
              <w:t>Auris Nasus Larynx. 2010;37(2):263-7.</w:t>
            </w:r>
          </w:p>
        </w:tc>
        <w:tc>
          <w:tcPr>
            <w:tcW w:w="496" w:type="pct"/>
            <w:gridSpan w:val="2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 xml:space="preserve">31/41 </w:t>
            </w:r>
          </w:p>
        </w:tc>
        <w:tc>
          <w:tcPr>
            <w:tcW w:w="413" w:type="pct"/>
            <w:gridSpan w:val="2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23</w:t>
            </w:r>
          </w:p>
        </w:tc>
        <w:tc>
          <w:tcPr>
            <w:tcW w:w="454" w:type="pct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0.711</w:t>
            </w:r>
          </w:p>
        </w:tc>
      </w:tr>
      <w:tr w:rsidR="00882D0F" w:rsidRPr="00235708" w:rsidTr="003026EF">
        <w:trPr>
          <w:trHeight w:val="227"/>
          <w:jc w:val="center"/>
        </w:trPr>
        <w:tc>
          <w:tcPr>
            <w:tcW w:w="248" w:type="pct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6.</w:t>
            </w:r>
          </w:p>
        </w:tc>
        <w:tc>
          <w:tcPr>
            <w:tcW w:w="3389" w:type="pct"/>
            <w:gridSpan w:val="7"/>
          </w:tcPr>
          <w:p w:rsidR="00882D0F" w:rsidRPr="0020371A" w:rsidRDefault="00882D0F" w:rsidP="005734A6">
            <w:pPr>
              <w:jc w:val="both"/>
            </w:pPr>
            <w:r w:rsidRPr="0020371A">
              <w:t xml:space="preserve">Dragičević D, Vlaški L, </w:t>
            </w:r>
            <w:r w:rsidRPr="0020371A">
              <w:rPr>
                <w:b/>
              </w:rPr>
              <w:t>Komazec Z</w:t>
            </w:r>
            <w:r w:rsidRPr="0020371A">
              <w:t xml:space="preserve">, Jović R. </w:t>
            </w:r>
            <w:hyperlink r:id="rId14" w:history="1">
              <w:r w:rsidRPr="0020371A">
                <w:rPr>
                  <w:rStyle w:val="Hyperlink"/>
                </w:rPr>
                <w:t>Transient evoked otoacoustic emissions in young children with otitis media with effusion before and after surgery</w:t>
              </w:r>
            </w:hyperlink>
            <w:r w:rsidRPr="0020371A">
              <w:t xml:space="preserve">. </w:t>
            </w:r>
            <w:r w:rsidRPr="0020371A">
              <w:rPr>
                <w:rStyle w:val="jrnl"/>
              </w:rPr>
              <w:t>Auris Nasus Larynx</w:t>
            </w:r>
            <w:r w:rsidRPr="0020371A">
              <w:t>. 2010;37(3):281-5.</w:t>
            </w:r>
          </w:p>
        </w:tc>
        <w:tc>
          <w:tcPr>
            <w:tcW w:w="496" w:type="pct"/>
            <w:gridSpan w:val="2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31/41</w:t>
            </w:r>
          </w:p>
        </w:tc>
        <w:tc>
          <w:tcPr>
            <w:tcW w:w="413" w:type="pct"/>
            <w:gridSpan w:val="2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23</w:t>
            </w:r>
          </w:p>
        </w:tc>
        <w:tc>
          <w:tcPr>
            <w:tcW w:w="454" w:type="pct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0.711</w:t>
            </w:r>
          </w:p>
        </w:tc>
      </w:tr>
      <w:tr w:rsidR="00882D0F" w:rsidRPr="00235708" w:rsidTr="003026EF">
        <w:trPr>
          <w:trHeight w:val="227"/>
          <w:jc w:val="center"/>
        </w:trPr>
        <w:tc>
          <w:tcPr>
            <w:tcW w:w="248" w:type="pct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7.</w:t>
            </w:r>
          </w:p>
        </w:tc>
        <w:tc>
          <w:tcPr>
            <w:tcW w:w="3389" w:type="pct"/>
            <w:gridSpan w:val="7"/>
          </w:tcPr>
          <w:p w:rsidR="00882D0F" w:rsidRPr="0020371A" w:rsidRDefault="00882D0F" w:rsidP="005734A6">
            <w:pPr>
              <w:jc w:val="both"/>
            </w:pPr>
            <w:r w:rsidRPr="0020371A">
              <w:t xml:space="preserve">Stevanović T, </w:t>
            </w:r>
            <w:r w:rsidRPr="0020371A">
              <w:rPr>
                <w:b/>
              </w:rPr>
              <w:t>Komazec Z</w:t>
            </w:r>
            <w:r w:rsidRPr="0020371A">
              <w:t xml:space="preserve">, Lemajić-Komazec </w:t>
            </w:r>
            <w:r w:rsidRPr="0020371A">
              <w:rPr>
                <w:lang w:val="en-US"/>
              </w:rPr>
              <w:t>S</w:t>
            </w:r>
            <w:r w:rsidRPr="0020371A">
              <w:t xml:space="preserve">, Jović R. </w:t>
            </w:r>
            <w:hyperlink r:id="rId15" w:history="1">
              <w:r w:rsidRPr="0020371A">
                <w:rPr>
                  <w:rStyle w:val="Hyperlink"/>
                </w:rPr>
                <w:t>Acute otitis media: to follow-up or treat</w:t>
              </w:r>
            </w:hyperlink>
            <w:r w:rsidRPr="0020371A">
              <w:t>? Int J Pediatr Otolaryngol. 2010;74(8):930-3.</w:t>
            </w:r>
          </w:p>
        </w:tc>
        <w:tc>
          <w:tcPr>
            <w:tcW w:w="496" w:type="pct"/>
            <w:gridSpan w:val="2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21/41</w:t>
            </w:r>
          </w:p>
        </w:tc>
        <w:tc>
          <w:tcPr>
            <w:tcW w:w="413" w:type="pct"/>
            <w:gridSpan w:val="2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22</w:t>
            </w:r>
          </w:p>
        </w:tc>
        <w:tc>
          <w:tcPr>
            <w:tcW w:w="454" w:type="pct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1.067</w:t>
            </w:r>
          </w:p>
        </w:tc>
      </w:tr>
      <w:tr w:rsidR="00882D0F" w:rsidRPr="00235708" w:rsidTr="003026EF">
        <w:trPr>
          <w:trHeight w:val="227"/>
          <w:jc w:val="center"/>
        </w:trPr>
        <w:tc>
          <w:tcPr>
            <w:tcW w:w="248" w:type="pct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8.</w:t>
            </w:r>
          </w:p>
        </w:tc>
        <w:tc>
          <w:tcPr>
            <w:tcW w:w="3389" w:type="pct"/>
            <w:gridSpan w:val="7"/>
          </w:tcPr>
          <w:p w:rsidR="00882D0F" w:rsidRPr="0020371A" w:rsidRDefault="00882D0F" w:rsidP="005734A6">
            <w:pPr>
              <w:jc w:val="both"/>
            </w:pPr>
            <w:r w:rsidRPr="0020371A">
              <w:rPr>
                <w:b/>
              </w:rPr>
              <w:t>Komazec Z</w:t>
            </w:r>
            <w:r w:rsidRPr="0020371A">
              <w:t xml:space="preserve">, Lemajić-Komazec S, Jović R, Nađ Č, Jovančević Lj, Savović S. </w:t>
            </w:r>
            <w:hyperlink r:id="rId16" w:history="1">
              <w:r w:rsidRPr="0020371A">
                <w:rPr>
                  <w:rStyle w:val="Hyperlink"/>
                </w:rPr>
                <w:t>Comparison between auditory steady-state responses and pure-tone audiometry</w:t>
              </w:r>
            </w:hyperlink>
            <w:r w:rsidRPr="0020371A">
              <w:t>. Vojnosanit Pregl. 2010;67(9):761-5.</w:t>
            </w:r>
          </w:p>
        </w:tc>
        <w:tc>
          <w:tcPr>
            <w:tcW w:w="496" w:type="pct"/>
            <w:gridSpan w:val="2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135/153</w:t>
            </w:r>
          </w:p>
        </w:tc>
        <w:tc>
          <w:tcPr>
            <w:tcW w:w="413" w:type="pct"/>
            <w:gridSpan w:val="2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23</w:t>
            </w:r>
          </w:p>
        </w:tc>
        <w:tc>
          <w:tcPr>
            <w:tcW w:w="454" w:type="pct"/>
            <w:vAlign w:val="center"/>
          </w:tcPr>
          <w:p w:rsidR="00882D0F" w:rsidRPr="0020371A" w:rsidRDefault="00882D0F" w:rsidP="005734A6">
            <w:pPr>
              <w:jc w:val="center"/>
            </w:pPr>
            <w:r w:rsidRPr="0020371A">
              <w:t>0.199</w:t>
            </w:r>
          </w:p>
        </w:tc>
      </w:tr>
      <w:tr w:rsidR="00235708" w:rsidRPr="0023570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35708" w:rsidRPr="00235708" w:rsidRDefault="00235708" w:rsidP="00235708">
            <w:pPr>
              <w:spacing w:after="60"/>
              <w:rPr>
                <w:b/>
                <w:lang w:val="sr-Cyrl-CS"/>
              </w:rPr>
            </w:pPr>
            <w:r w:rsidRPr="0023570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35708" w:rsidRPr="00235708" w:rsidTr="00B119E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lastRenderedPageBreak/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91</w:t>
            </w:r>
          </w:p>
        </w:tc>
      </w:tr>
      <w:tr w:rsidR="00235708" w:rsidRPr="00235708" w:rsidTr="00B119E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35708" w:rsidRPr="00235708" w:rsidRDefault="00235708" w:rsidP="00235708">
            <w:pPr>
              <w:spacing w:after="60"/>
              <w:rPr>
                <w:lang w:val="sr-Cyrl-CS"/>
              </w:rPr>
            </w:pPr>
            <w:r w:rsidRPr="0023570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235708" w:rsidRPr="00235708" w:rsidRDefault="00235708" w:rsidP="00235708">
            <w:pPr>
              <w:rPr>
                <w:lang w:val="sr-Cyrl-CS"/>
              </w:rPr>
            </w:pPr>
            <w:r w:rsidRPr="00235708">
              <w:rPr>
                <w:lang w:val="sr-Cyrl-CS"/>
              </w:rPr>
              <w:t>8</w:t>
            </w:r>
          </w:p>
        </w:tc>
      </w:tr>
      <w:tr w:rsidR="00235708" w:rsidRPr="00235708" w:rsidTr="0023570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35708" w:rsidRPr="00235708" w:rsidRDefault="00235708" w:rsidP="00235708">
            <w:pPr>
              <w:spacing w:after="60"/>
              <w:rPr>
                <w:b/>
                <w:lang w:val="sr-Cyrl-CS"/>
              </w:rPr>
            </w:pPr>
            <w:r w:rsidRPr="0023570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235708" w:rsidRPr="00235708" w:rsidRDefault="00235708" w:rsidP="00235708">
            <w:pPr>
              <w:spacing w:after="60"/>
              <w:rPr>
                <w:b/>
                <w:lang w:val="sr-Cyrl-CS"/>
              </w:rPr>
            </w:pPr>
            <w:r w:rsidRPr="00235708">
              <w:rPr>
                <w:lang w:val="sr-Cyrl-CS"/>
              </w:rPr>
              <w:t>Домаћи: 3</w:t>
            </w:r>
          </w:p>
        </w:tc>
        <w:tc>
          <w:tcPr>
            <w:tcW w:w="2144" w:type="pct"/>
            <w:gridSpan w:val="7"/>
            <w:vAlign w:val="center"/>
          </w:tcPr>
          <w:p w:rsidR="00235708" w:rsidRPr="00235708" w:rsidRDefault="00235708" w:rsidP="00235708">
            <w:pPr>
              <w:spacing w:after="60"/>
              <w:rPr>
                <w:b/>
                <w:lang w:val="sr-Cyrl-CS"/>
              </w:rPr>
            </w:pPr>
            <w:r w:rsidRPr="00235708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235708" w:rsidRPr="00235708" w:rsidTr="00765B5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35708" w:rsidRPr="00235708" w:rsidRDefault="00235708" w:rsidP="00235708">
            <w:pPr>
              <w:spacing w:after="60"/>
              <w:rPr>
                <w:b/>
                <w:lang w:val="sr-Cyrl-CS"/>
              </w:rPr>
            </w:pPr>
            <w:r w:rsidRPr="00235708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235708" w:rsidRPr="00235708" w:rsidRDefault="00235708" w:rsidP="00235708">
            <w:r w:rsidRPr="00235708">
              <w:t>Швајцарска, Шведска, Канада, Аустрија, Немачка, Данска</w:t>
            </w:r>
          </w:p>
        </w:tc>
      </w:tr>
      <w:tr w:rsidR="00235708" w:rsidRPr="00235708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35708" w:rsidRPr="00235708" w:rsidRDefault="00235708" w:rsidP="00235708">
            <w:pPr>
              <w:spacing w:after="60"/>
              <w:rPr>
                <w:b/>
                <w:lang w:val="sr-Cyrl-CS"/>
              </w:rPr>
            </w:pPr>
            <w:r w:rsidRPr="0023570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235708" w:rsidRPr="00235708" w:rsidRDefault="00235708" w:rsidP="00235708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1" w:name="_GoBack"/>
      <w:bookmarkEnd w:id="1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34158"/>
    <w:rsid w:val="001543AE"/>
    <w:rsid w:val="0020371A"/>
    <w:rsid w:val="00235708"/>
    <w:rsid w:val="002F4310"/>
    <w:rsid w:val="003F177B"/>
    <w:rsid w:val="005849CC"/>
    <w:rsid w:val="005B6DDC"/>
    <w:rsid w:val="006B46C5"/>
    <w:rsid w:val="006F1B88"/>
    <w:rsid w:val="00704375"/>
    <w:rsid w:val="00774809"/>
    <w:rsid w:val="007941CF"/>
    <w:rsid w:val="007B4A02"/>
    <w:rsid w:val="00874FA5"/>
    <w:rsid w:val="00882D0F"/>
    <w:rsid w:val="00892691"/>
    <w:rsid w:val="009A7403"/>
    <w:rsid w:val="00A85D19"/>
    <w:rsid w:val="00A96A06"/>
    <w:rsid w:val="00B86608"/>
    <w:rsid w:val="00BA2674"/>
    <w:rsid w:val="00BC19FD"/>
    <w:rsid w:val="00C4033D"/>
    <w:rsid w:val="00C61C97"/>
    <w:rsid w:val="00CC0E20"/>
    <w:rsid w:val="00D17415"/>
    <w:rsid w:val="00D549AB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882D0F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rsid w:val="00882D0F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882D0F"/>
    <w:rPr>
      <w:b/>
      <w:bCs/>
    </w:rPr>
  </w:style>
  <w:style w:type="character" w:customStyle="1" w:styleId="standard-view-style">
    <w:name w:val="standard-view-style"/>
    <w:basedOn w:val="DefaultParagraphFont"/>
    <w:rsid w:val="00882D0F"/>
  </w:style>
  <w:style w:type="character" w:customStyle="1" w:styleId="ti2">
    <w:name w:val="ti2"/>
    <w:basedOn w:val="DefaultParagraphFont"/>
    <w:rsid w:val="00882D0F"/>
    <w:rPr>
      <w:sz w:val="22"/>
      <w:szCs w:val="22"/>
    </w:rPr>
  </w:style>
  <w:style w:type="character" w:customStyle="1" w:styleId="jrnl">
    <w:name w:val="jrnl"/>
    <w:basedOn w:val="DefaultParagraphFont"/>
    <w:rsid w:val="00882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Canadanovic%20Vladimir%20M" TargetMode="External"/><Relationship Id="rId13" Type="http://schemas.openxmlformats.org/officeDocument/2006/relationships/hyperlink" Target="http://ac.els-cdn.com/S0385814609001564/1-s2.0-S0385814609001564-main.pdf?_tid=3a2c633c-1e93-11e7-89ae-00000aacb35e&amp;acdnat=1491900514_970dfefb8ff47f1a04bef01b4b19ba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bson.nb.rs/nauka_u_srbiji.132.html?autor=Jovancevic%20Ljiljana" TargetMode="External"/><Relationship Id="rId12" Type="http://schemas.openxmlformats.org/officeDocument/2006/relationships/hyperlink" Target="http://link.springer.com/article/10.1007%2Fs00405-012-1940-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0/0042-84501009761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zproxy.nb.rs:2252/ehost/viewarticle/render?data=dGJyMPPp44rp2%2fdV0%2bnjisfk5Ie46bJQrqe3TLek63nn5Kx95uXxjL6urUqypbBIsKaeTLiqtVKzp55Zy5zyit%2fk8Xnh6ueH7N%2fiVa%2bqs0muqLZMsaikhN%2fk5VXj5KR84LPhhePa6z7y1%2bVVv8SkeeyzsUqzr7NKs6ukfu3o63nys%2bSN6uLyffbq&amp;vid=3&amp;sid=a5b55b05-1acb-4fcf-a978-7f8000b41ebe@sdc-v-sessmgr01" TargetMode="External"/><Relationship Id="rId11" Type="http://schemas.openxmlformats.org/officeDocument/2006/relationships/hyperlink" Target="http://kobson.nb.rs/nauka_u_srbiji.132.html?autor=Komazec%20Zoran" TargetMode="External"/><Relationship Id="rId5" Type="http://schemas.openxmlformats.org/officeDocument/2006/relationships/hyperlink" Target="http://kobson.nb.rs/nauka_u_srbiji.132.html?autor=Komazec%20Zoran&amp;amp;samoar&amp;amp;.WOySn7ixWUk" TargetMode="External"/><Relationship Id="rId15" Type="http://schemas.openxmlformats.org/officeDocument/2006/relationships/hyperlink" Target="http://ac.els-cdn.com/S0165587610002272/1-s2.0-S0165587610002272-main.pdf?_tid=eb68fd8c-1e92-11e7-b9cc-00000aab0f01&amp;acdnat=1491900382_1a8189c34edfa93a915cd87bde7e9f9b" TargetMode="External"/><Relationship Id="rId10" Type="http://schemas.openxmlformats.org/officeDocument/2006/relationships/hyperlink" Target="http://kobson.nb.rs/nauka_u_srbiji.132.html?autor=Zvezdin%20Biljana%2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Savovic%20Slobodan" TargetMode="External"/><Relationship Id="rId14" Type="http://schemas.openxmlformats.org/officeDocument/2006/relationships/hyperlink" Target="http://ac.els-cdn.com/S0385814609001850/1-s2.0-S0385814609001850-main.pdf?_tid=1cae4abe-1e93-11e7-949d-00000aacb35e&amp;acdnat=1491900464_543e1f4efa98e72ba92c618c23630cd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Nina</cp:lastModifiedBy>
  <cp:revision>2</cp:revision>
  <dcterms:created xsi:type="dcterms:W3CDTF">2021-01-17T10:28:00Z</dcterms:created>
  <dcterms:modified xsi:type="dcterms:W3CDTF">2021-01-17T10:28:00Z</dcterms:modified>
</cp:coreProperties>
</file>