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BB1F" w14:textId="77777777" w:rsidR="00CC5A4A" w:rsidRPr="00DE02EC" w:rsidRDefault="00CC5A4A" w:rsidP="00CC5A4A">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07"/>
        <w:gridCol w:w="1006"/>
        <w:gridCol w:w="1800"/>
        <w:gridCol w:w="919"/>
        <w:gridCol w:w="440"/>
        <w:gridCol w:w="1506"/>
        <w:gridCol w:w="250"/>
        <w:gridCol w:w="919"/>
        <w:gridCol w:w="398"/>
        <w:gridCol w:w="411"/>
        <w:gridCol w:w="988"/>
      </w:tblGrid>
      <w:tr w:rsidR="00CC5A4A" w:rsidRPr="00B92995" w14:paraId="6D5275D2" w14:textId="77777777" w:rsidTr="00CC5A4A">
        <w:trPr>
          <w:trHeight w:val="227"/>
          <w:jc w:val="center"/>
        </w:trPr>
        <w:tc>
          <w:tcPr>
            <w:tcW w:w="1494" w:type="pct"/>
            <w:gridSpan w:val="3"/>
            <w:vAlign w:val="center"/>
          </w:tcPr>
          <w:p w14:paraId="463892BE" w14:textId="77777777" w:rsidR="00CC5A4A" w:rsidRPr="00B92995" w:rsidRDefault="00CC5A4A" w:rsidP="00CC5A4A">
            <w:pPr>
              <w:spacing w:after="60"/>
              <w:rPr>
                <w:lang w:val="sr-Cyrl-CS"/>
              </w:rPr>
            </w:pPr>
            <w:r w:rsidRPr="00B92995">
              <w:rPr>
                <w:b/>
                <w:lang w:val="sr-Cyrl-CS"/>
              </w:rPr>
              <w:t>Име и презиме</w:t>
            </w:r>
          </w:p>
        </w:tc>
        <w:tc>
          <w:tcPr>
            <w:tcW w:w="3506" w:type="pct"/>
            <w:gridSpan w:val="9"/>
            <w:vAlign w:val="center"/>
          </w:tcPr>
          <w:p w14:paraId="03624DE1" w14:textId="77777777" w:rsidR="00CC5A4A" w:rsidRPr="00B92995" w:rsidRDefault="00CC5A4A" w:rsidP="00CC5A4A">
            <w:pPr>
              <w:spacing w:after="60"/>
              <w:rPr>
                <w:lang w:val="sr-Cyrl-CS"/>
              </w:rPr>
            </w:pPr>
            <w:hyperlink r:id="rId4" w:history="1">
              <w:r w:rsidRPr="00B92995">
                <w:rPr>
                  <w:rStyle w:val="Hyperlink"/>
                  <w:lang w:val="sr-Cyrl-CS"/>
                </w:rPr>
                <w:t>Будимка Новаковић</w:t>
              </w:r>
            </w:hyperlink>
          </w:p>
        </w:tc>
      </w:tr>
      <w:tr w:rsidR="00CC5A4A" w:rsidRPr="00B92995" w14:paraId="0B79A833" w14:textId="77777777" w:rsidTr="00CC5A4A">
        <w:trPr>
          <w:trHeight w:val="227"/>
          <w:jc w:val="center"/>
        </w:trPr>
        <w:tc>
          <w:tcPr>
            <w:tcW w:w="1494" w:type="pct"/>
            <w:gridSpan w:val="3"/>
            <w:vAlign w:val="center"/>
          </w:tcPr>
          <w:p w14:paraId="0F7EE544" w14:textId="77777777" w:rsidR="00CC5A4A" w:rsidRPr="00B92995" w:rsidRDefault="00CC5A4A" w:rsidP="00CC5A4A">
            <w:pPr>
              <w:spacing w:after="60"/>
              <w:rPr>
                <w:lang w:val="sr-Cyrl-CS"/>
              </w:rPr>
            </w:pPr>
            <w:r w:rsidRPr="00B92995">
              <w:rPr>
                <w:b/>
                <w:lang w:val="sr-Cyrl-CS"/>
              </w:rPr>
              <w:t>Звање</w:t>
            </w:r>
          </w:p>
        </w:tc>
        <w:tc>
          <w:tcPr>
            <w:tcW w:w="3506" w:type="pct"/>
            <w:gridSpan w:val="9"/>
          </w:tcPr>
          <w:p w14:paraId="122E0B71" w14:textId="77777777" w:rsidR="00CC5A4A" w:rsidRPr="00B92995" w:rsidRDefault="00CC5A4A" w:rsidP="00CC5A4A">
            <w:pPr>
              <w:rPr>
                <w:lang w:val="sr-Cyrl-CS"/>
              </w:rPr>
            </w:pPr>
            <w:r w:rsidRPr="00B92995">
              <w:rPr>
                <w:lang w:val="sr-Cyrl-CS"/>
              </w:rPr>
              <w:t>Редовни професор</w:t>
            </w:r>
          </w:p>
        </w:tc>
      </w:tr>
      <w:tr w:rsidR="00CC5A4A" w:rsidRPr="00B92995" w14:paraId="318BBD49" w14:textId="77777777" w:rsidTr="00CC5A4A">
        <w:trPr>
          <w:trHeight w:val="227"/>
          <w:jc w:val="center"/>
        </w:trPr>
        <w:tc>
          <w:tcPr>
            <w:tcW w:w="1494" w:type="pct"/>
            <w:gridSpan w:val="3"/>
            <w:vAlign w:val="center"/>
          </w:tcPr>
          <w:p w14:paraId="55365E34" w14:textId="77777777" w:rsidR="00CC5A4A" w:rsidRPr="00B92995" w:rsidRDefault="00CC5A4A" w:rsidP="00CC5A4A">
            <w:pPr>
              <w:spacing w:after="60"/>
              <w:rPr>
                <w:lang w:val="sr-Cyrl-CS"/>
              </w:rPr>
            </w:pPr>
            <w:r w:rsidRPr="00B92995">
              <w:rPr>
                <w:b/>
                <w:lang w:val="sr-Cyrl-CS"/>
              </w:rPr>
              <w:t>Ужа научна, уметничка односно стручна  област</w:t>
            </w:r>
          </w:p>
        </w:tc>
        <w:tc>
          <w:tcPr>
            <w:tcW w:w="3506" w:type="pct"/>
            <w:gridSpan w:val="9"/>
            <w:vAlign w:val="center"/>
          </w:tcPr>
          <w:p w14:paraId="21C8DB24" w14:textId="77777777" w:rsidR="00CC5A4A" w:rsidRPr="00B92995" w:rsidRDefault="00CC5A4A" w:rsidP="00CC5A4A">
            <w:pPr>
              <w:spacing w:after="60"/>
              <w:rPr>
                <w:lang w:val="sr-Cyrl-CS"/>
              </w:rPr>
            </w:pPr>
            <w:r w:rsidRPr="00B92995">
              <w:rPr>
                <w:lang w:val="sr-Cyrl-CS"/>
              </w:rPr>
              <w:t>Хигијена</w:t>
            </w:r>
          </w:p>
        </w:tc>
      </w:tr>
      <w:tr w:rsidR="00CC5A4A" w:rsidRPr="00B92995" w14:paraId="3F0E2655" w14:textId="77777777" w:rsidTr="00CC5A4A">
        <w:trPr>
          <w:trHeight w:val="227"/>
          <w:jc w:val="center"/>
        </w:trPr>
        <w:tc>
          <w:tcPr>
            <w:tcW w:w="1032" w:type="pct"/>
            <w:gridSpan w:val="2"/>
            <w:vAlign w:val="center"/>
          </w:tcPr>
          <w:p w14:paraId="58E95EC1" w14:textId="77777777" w:rsidR="00CC5A4A" w:rsidRPr="00B92995" w:rsidRDefault="00CC5A4A" w:rsidP="00CC5A4A">
            <w:pPr>
              <w:spacing w:after="60"/>
              <w:rPr>
                <w:lang w:val="sr-Cyrl-CS"/>
              </w:rPr>
            </w:pPr>
            <w:r w:rsidRPr="00B92995">
              <w:rPr>
                <w:b/>
                <w:lang w:val="sr-Cyrl-CS"/>
              </w:rPr>
              <w:t>Академска каријера</w:t>
            </w:r>
          </w:p>
        </w:tc>
        <w:tc>
          <w:tcPr>
            <w:tcW w:w="462" w:type="pct"/>
            <w:vAlign w:val="center"/>
          </w:tcPr>
          <w:p w14:paraId="0BE4E5A9" w14:textId="77777777" w:rsidR="00CC5A4A" w:rsidRPr="00B92995" w:rsidRDefault="00CC5A4A" w:rsidP="00CC5A4A">
            <w:pPr>
              <w:spacing w:after="60"/>
              <w:rPr>
                <w:lang w:val="sr-Cyrl-CS"/>
              </w:rPr>
            </w:pPr>
            <w:r w:rsidRPr="00B92995">
              <w:rPr>
                <w:lang w:val="sr-Cyrl-CS"/>
              </w:rPr>
              <w:t xml:space="preserve">Година </w:t>
            </w:r>
          </w:p>
        </w:tc>
        <w:tc>
          <w:tcPr>
            <w:tcW w:w="1451" w:type="pct"/>
            <w:gridSpan w:val="3"/>
            <w:vAlign w:val="center"/>
          </w:tcPr>
          <w:p w14:paraId="674B4C2C" w14:textId="77777777" w:rsidR="00CC5A4A" w:rsidRPr="00B92995" w:rsidRDefault="00CC5A4A" w:rsidP="00CC5A4A">
            <w:pPr>
              <w:spacing w:after="60"/>
              <w:rPr>
                <w:lang w:val="sr-Cyrl-CS"/>
              </w:rPr>
            </w:pPr>
            <w:r w:rsidRPr="00B92995">
              <w:rPr>
                <w:lang w:val="sr-Cyrl-CS"/>
              </w:rPr>
              <w:t xml:space="preserve">Институција </w:t>
            </w:r>
          </w:p>
        </w:tc>
        <w:tc>
          <w:tcPr>
            <w:tcW w:w="2055" w:type="pct"/>
            <w:gridSpan w:val="6"/>
            <w:vAlign w:val="center"/>
          </w:tcPr>
          <w:p w14:paraId="4EB634A3" w14:textId="77777777" w:rsidR="00CC5A4A" w:rsidRPr="00B92995" w:rsidRDefault="00CC5A4A" w:rsidP="00CC5A4A">
            <w:pPr>
              <w:spacing w:after="60"/>
              <w:rPr>
                <w:lang w:val="sr-Cyrl-CS"/>
              </w:rPr>
            </w:pPr>
            <w:r w:rsidRPr="00B92995">
              <w:rPr>
                <w:lang w:val="sr-Cyrl-CS"/>
              </w:rPr>
              <w:t xml:space="preserve">Ужа научна, уметничка односно стручна област </w:t>
            </w:r>
          </w:p>
        </w:tc>
      </w:tr>
      <w:tr w:rsidR="00CC5A4A" w:rsidRPr="00B92995" w14:paraId="2571A1DD" w14:textId="77777777" w:rsidTr="00CC5A4A">
        <w:trPr>
          <w:trHeight w:val="227"/>
          <w:jc w:val="center"/>
        </w:trPr>
        <w:tc>
          <w:tcPr>
            <w:tcW w:w="1032" w:type="pct"/>
            <w:gridSpan w:val="2"/>
          </w:tcPr>
          <w:p w14:paraId="1CE171E8" w14:textId="77777777" w:rsidR="00CC5A4A" w:rsidRPr="00B92995" w:rsidRDefault="00CC5A4A" w:rsidP="00CC5A4A">
            <w:pPr>
              <w:rPr>
                <w:lang w:val="sr-Cyrl-CS"/>
              </w:rPr>
            </w:pPr>
            <w:r w:rsidRPr="00B92995">
              <w:rPr>
                <w:lang w:val="sr-Cyrl-CS"/>
              </w:rPr>
              <w:t>Избор у звање</w:t>
            </w:r>
          </w:p>
        </w:tc>
        <w:tc>
          <w:tcPr>
            <w:tcW w:w="462" w:type="pct"/>
          </w:tcPr>
          <w:p w14:paraId="0FDBA1C2" w14:textId="77777777" w:rsidR="00CC5A4A" w:rsidRPr="00B92995" w:rsidRDefault="00CC5A4A" w:rsidP="00CC5A4A">
            <w:pPr>
              <w:jc w:val="center"/>
              <w:rPr>
                <w:lang w:val="sr-Cyrl-CS"/>
              </w:rPr>
            </w:pPr>
            <w:r w:rsidRPr="00B92995">
              <w:rPr>
                <w:lang w:val="sr-Cyrl-CS"/>
              </w:rPr>
              <w:t>2007.</w:t>
            </w:r>
          </w:p>
        </w:tc>
        <w:tc>
          <w:tcPr>
            <w:tcW w:w="1451" w:type="pct"/>
            <w:gridSpan w:val="3"/>
          </w:tcPr>
          <w:p w14:paraId="77D94619" w14:textId="77777777" w:rsidR="00CC5A4A" w:rsidRPr="00B92995" w:rsidRDefault="00CC5A4A" w:rsidP="00CC5A4A">
            <w:r>
              <w:t>Медицински факултет Нови Сад</w:t>
            </w:r>
          </w:p>
        </w:tc>
        <w:tc>
          <w:tcPr>
            <w:tcW w:w="2055" w:type="pct"/>
            <w:gridSpan w:val="6"/>
          </w:tcPr>
          <w:p w14:paraId="656316E1" w14:textId="77777777" w:rsidR="00CC5A4A" w:rsidRPr="00B92995" w:rsidRDefault="00CC5A4A" w:rsidP="00CC5A4A">
            <w:pPr>
              <w:rPr>
                <w:lang w:val="sr-Cyrl-CS"/>
              </w:rPr>
            </w:pPr>
            <w:r w:rsidRPr="00B92995">
              <w:rPr>
                <w:lang w:val="sr-Cyrl-CS"/>
              </w:rPr>
              <w:t>Хигијена</w:t>
            </w:r>
          </w:p>
        </w:tc>
      </w:tr>
      <w:tr w:rsidR="00CC5A4A" w:rsidRPr="00B92995" w14:paraId="18FE5632" w14:textId="77777777" w:rsidTr="00CC5A4A">
        <w:trPr>
          <w:trHeight w:val="227"/>
          <w:jc w:val="center"/>
        </w:trPr>
        <w:tc>
          <w:tcPr>
            <w:tcW w:w="1032" w:type="pct"/>
            <w:gridSpan w:val="2"/>
          </w:tcPr>
          <w:p w14:paraId="135B52E3" w14:textId="77777777" w:rsidR="00CC5A4A" w:rsidRPr="00B92995" w:rsidRDefault="00CC5A4A" w:rsidP="00CC5A4A">
            <w:pPr>
              <w:rPr>
                <w:lang w:val="sr-Cyrl-CS"/>
              </w:rPr>
            </w:pPr>
            <w:r w:rsidRPr="00B92995">
              <w:rPr>
                <w:lang w:val="sr-Cyrl-CS"/>
              </w:rPr>
              <w:t>Докторат</w:t>
            </w:r>
          </w:p>
        </w:tc>
        <w:tc>
          <w:tcPr>
            <w:tcW w:w="462" w:type="pct"/>
          </w:tcPr>
          <w:p w14:paraId="31877966" w14:textId="77777777" w:rsidR="00CC5A4A" w:rsidRPr="00B92995" w:rsidRDefault="00CC5A4A" w:rsidP="00CC5A4A">
            <w:pPr>
              <w:jc w:val="center"/>
              <w:rPr>
                <w:lang w:val="sr-Cyrl-CS"/>
              </w:rPr>
            </w:pPr>
            <w:r w:rsidRPr="00B92995">
              <w:rPr>
                <w:lang w:val="sr-Cyrl-CS"/>
              </w:rPr>
              <w:t>1997.</w:t>
            </w:r>
          </w:p>
        </w:tc>
        <w:tc>
          <w:tcPr>
            <w:tcW w:w="1451" w:type="pct"/>
            <w:gridSpan w:val="3"/>
          </w:tcPr>
          <w:p w14:paraId="35491AF7" w14:textId="77777777" w:rsidR="00CC5A4A" w:rsidRPr="00B92995" w:rsidRDefault="00CC5A4A" w:rsidP="00CC5A4A">
            <w:r>
              <w:t>Медицински факултет Нови Сад</w:t>
            </w:r>
          </w:p>
        </w:tc>
        <w:tc>
          <w:tcPr>
            <w:tcW w:w="2055" w:type="pct"/>
            <w:gridSpan w:val="6"/>
          </w:tcPr>
          <w:p w14:paraId="509C588F" w14:textId="77777777" w:rsidR="00CC5A4A" w:rsidRPr="00B92995" w:rsidRDefault="00CC5A4A" w:rsidP="00CC5A4A">
            <w:pPr>
              <w:rPr>
                <w:lang w:val="sr-Cyrl-CS"/>
              </w:rPr>
            </w:pPr>
            <w:r w:rsidRPr="00B92995">
              <w:rPr>
                <w:lang w:val="sr-Cyrl-CS"/>
              </w:rPr>
              <w:t>Хигијена, исхрана, епидемиологија масовних незаразних болести</w:t>
            </w:r>
          </w:p>
        </w:tc>
      </w:tr>
      <w:tr w:rsidR="00CC5A4A" w:rsidRPr="00B92995" w14:paraId="2EDF0055" w14:textId="77777777" w:rsidTr="00CC5A4A">
        <w:trPr>
          <w:trHeight w:val="227"/>
          <w:jc w:val="center"/>
        </w:trPr>
        <w:tc>
          <w:tcPr>
            <w:tcW w:w="1032" w:type="pct"/>
            <w:gridSpan w:val="2"/>
          </w:tcPr>
          <w:p w14:paraId="703D7362" w14:textId="77777777" w:rsidR="00CC5A4A" w:rsidRPr="00B92995" w:rsidRDefault="00CC5A4A" w:rsidP="00CC5A4A">
            <w:pPr>
              <w:rPr>
                <w:lang w:val="sr-Cyrl-CS"/>
              </w:rPr>
            </w:pPr>
            <w:r w:rsidRPr="00B92995">
              <w:rPr>
                <w:lang w:val="sr-Cyrl-CS"/>
              </w:rPr>
              <w:t>Специјализација</w:t>
            </w:r>
          </w:p>
        </w:tc>
        <w:tc>
          <w:tcPr>
            <w:tcW w:w="462" w:type="pct"/>
          </w:tcPr>
          <w:p w14:paraId="008071CA" w14:textId="77777777" w:rsidR="00CC5A4A" w:rsidRPr="00B92995" w:rsidRDefault="00CC5A4A" w:rsidP="00CC5A4A">
            <w:pPr>
              <w:jc w:val="center"/>
              <w:rPr>
                <w:lang w:val="sr-Cyrl-CS"/>
              </w:rPr>
            </w:pPr>
            <w:r w:rsidRPr="00B92995">
              <w:rPr>
                <w:lang w:val="sr-Cyrl-CS"/>
              </w:rPr>
              <w:t>1991.</w:t>
            </w:r>
          </w:p>
          <w:p w14:paraId="5A99F72C" w14:textId="77777777" w:rsidR="00CC5A4A" w:rsidRPr="00B92995" w:rsidRDefault="00CC5A4A" w:rsidP="00CC5A4A">
            <w:pPr>
              <w:jc w:val="center"/>
              <w:rPr>
                <w:lang w:val="sr-Cyrl-CS"/>
              </w:rPr>
            </w:pPr>
            <w:r w:rsidRPr="00B92995">
              <w:rPr>
                <w:lang w:val="sr-Cyrl-CS"/>
              </w:rPr>
              <w:t>2006.</w:t>
            </w:r>
          </w:p>
        </w:tc>
        <w:tc>
          <w:tcPr>
            <w:tcW w:w="1451" w:type="pct"/>
            <w:gridSpan w:val="3"/>
          </w:tcPr>
          <w:p w14:paraId="5FAC33F1" w14:textId="77777777" w:rsidR="00CC5A4A" w:rsidRPr="00B92995" w:rsidRDefault="00CC5A4A" w:rsidP="00CC5A4A">
            <w:r>
              <w:t>Медицински факултет Нови Сад</w:t>
            </w:r>
          </w:p>
        </w:tc>
        <w:tc>
          <w:tcPr>
            <w:tcW w:w="2055" w:type="pct"/>
            <w:gridSpan w:val="6"/>
          </w:tcPr>
          <w:p w14:paraId="6C518B80" w14:textId="77777777" w:rsidR="00CC5A4A" w:rsidRPr="00B92995" w:rsidRDefault="00CC5A4A" w:rsidP="00CC5A4A">
            <w:pPr>
              <w:rPr>
                <w:lang w:val="sr-Cyrl-CS"/>
              </w:rPr>
            </w:pPr>
            <w:r w:rsidRPr="00B92995">
              <w:rPr>
                <w:lang w:val="sr-Cyrl-CS"/>
              </w:rPr>
              <w:t>Хигијена</w:t>
            </w:r>
          </w:p>
          <w:p w14:paraId="0F619D5F" w14:textId="77777777" w:rsidR="00CC5A4A" w:rsidRPr="00B92995" w:rsidRDefault="00CC5A4A" w:rsidP="00CC5A4A">
            <w:pPr>
              <w:rPr>
                <w:lang w:val="sr-Cyrl-CS"/>
              </w:rPr>
            </w:pPr>
            <w:r w:rsidRPr="00B92995">
              <w:rPr>
                <w:lang w:val="sr-Cyrl-CS"/>
              </w:rPr>
              <w:t>Исхрана здравих и болесних људи</w:t>
            </w:r>
          </w:p>
        </w:tc>
      </w:tr>
      <w:tr w:rsidR="00CC5A4A" w:rsidRPr="00B92995" w14:paraId="30BDE00F" w14:textId="77777777" w:rsidTr="00CC5A4A">
        <w:trPr>
          <w:trHeight w:val="227"/>
          <w:jc w:val="center"/>
        </w:trPr>
        <w:tc>
          <w:tcPr>
            <w:tcW w:w="1032" w:type="pct"/>
            <w:gridSpan w:val="2"/>
          </w:tcPr>
          <w:p w14:paraId="3C1C86E9" w14:textId="77777777" w:rsidR="00CC5A4A" w:rsidRPr="00B92995" w:rsidRDefault="00CC5A4A" w:rsidP="00CC5A4A">
            <w:pPr>
              <w:rPr>
                <w:lang w:val="sr-Cyrl-CS"/>
              </w:rPr>
            </w:pPr>
            <w:r w:rsidRPr="00B92995">
              <w:rPr>
                <w:lang w:val="sr-Cyrl-CS"/>
              </w:rPr>
              <w:t>Магистратура</w:t>
            </w:r>
          </w:p>
        </w:tc>
        <w:tc>
          <w:tcPr>
            <w:tcW w:w="462" w:type="pct"/>
          </w:tcPr>
          <w:p w14:paraId="2D705DCE" w14:textId="77777777" w:rsidR="00CC5A4A" w:rsidRPr="00B92995" w:rsidRDefault="00CC5A4A" w:rsidP="00CC5A4A">
            <w:pPr>
              <w:jc w:val="center"/>
              <w:rPr>
                <w:lang w:val="sr-Cyrl-CS"/>
              </w:rPr>
            </w:pPr>
            <w:r w:rsidRPr="00B92995">
              <w:rPr>
                <w:lang w:val="sr-Cyrl-CS"/>
              </w:rPr>
              <w:t>1990.</w:t>
            </w:r>
          </w:p>
        </w:tc>
        <w:tc>
          <w:tcPr>
            <w:tcW w:w="1451" w:type="pct"/>
            <w:gridSpan w:val="3"/>
          </w:tcPr>
          <w:p w14:paraId="4ACB746A" w14:textId="77777777" w:rsidR="00CC5A4A" w:rsidRPr="00B92995" w:rsidRDefault="00CC5A4A" w:rsidP="00CC5A4A">
            <w:r>
              <w:t>Медицински факултет Нови Сад</w:t>
            </w:r>
          </w:p>
        </w:tc>
        <w:tc>
          <w:tcPr>
            <w:tcW w:w="2055" w:type="pct"/>
            <w:gridSpan w:val="6"/>
          </w:tcPr>
          <w:p w14:paraId="7A3DD268" w14:textId="77777777" w:rsidR="00CC5A4A" w:rsidRPr="00B92995" w:rsidRDefault="00CC5A4A" w:rsidP="00CC5A4A">
            <w:pPr>
              <w:rPr>
                <w:lang w:val="sr-Cyrl-CS"/>
              </w:rPr>
            </w:pPr>
            <w:r w:rsidRPr="00B92995">
              <w:rPr>
                <w:lang w:val="sr-Cyrl-CS"/>
              </w:rPr>
              <w:t>Хигијена, исхрана, епидемиологија масовних незаразних болести</w:t>
            </w:r>
          </w:p>
        </w:tc>
      </w:tr>
      <w:tr w:rsidR="00CC5A4A" w:rsidRPr="00B92995" w14:paraId="4BDC77FD" w14:textId="77777777" w:rsidTr="00CC5A4A">
        <w:trPr>
          <w:trHeight w:val="227"/>
          <w:jc w:val="center"/>
        </w:trPr>
        <w:tc>
          <w:tcPr>
            <w:tcW w:w="1032" w:type="pct"/>
            <w:gridSpan w:val="2"/>
          </w:tcPr>
          <w:p w14:paraId="7F497816" w14:textId="77777777" w:rsidR="00CC5A4A" w:rsidRPr="00B92995" w:rsidRDefault="00CC5A4A" w:rsidP="00CC5A4A">
            <w:pPr>
              <w:rPr>
                <w:lang w:val="sr-Cyrl-CS"/>
              </w:rPr>
            </w:pPr>
            <w:r w:rsidRPr="00B92995">
              <w:rPr>
                <w:lang w:val="sr-Cyrl-CS"/>
              </w:rPr>
              <w:t>Диплома</w:t>
            </w:r>
          </w:p>
        </w:tc>
        <w:tc>
          <w:tcPr>
            <w:tcW w:w="462" w:type="pct"/>
          </w:tcPr>
          <w:p w14:paraId="4090DFA0" w14:textId="77777777" w:rsidR="00CC5A4A" w:rsidRPr="00B92995" w:rsidRDefault="00CC5A4A" w:rsidP="00CC5A4A">
            <w:pPr>
              <w:jc w:val="center"/>
              <w:rPr>
                <w:lang w:val="sr-Cyrl-CS"/>
              </w:rPr>
            </w:pPr>
            <w:r w:rsidRPr="00B92995">
              <w:rPr>
                <w:lang w:val="sr-Cyrl-CS"/>
              </w:rPr>
              <w:t>1983.</w:t>
            </w:r>
          </w:p>
        </w:tc>
        <w:tc>
          <w:tcPr>
            <w:tcW w:w="1451" w:type="pct"/>
            <w:gridSpan w:val="3"/>
          </w:tcPr>
          <w:p w14:paraId="10DFCBE1" w14:textId="77777777" w:rsidR="00CC5A4A" w:rsidRPr="00B92995" w:rsidRDefault="00CC5A4A" w:rsidP="00CC5A4A">
            <w:r>
              <w:t>Медицински факултет Нови Сад</w:t>
            </w:r>
          </w:p>
        </w:tc>
        <w:tc>
          <w:tcPr>
            <w:tcW w:w="2055" w:type="pct"/>
            <w:gridSpan w:val="6"/>
          </w:tcPr>
          <w:p w14:paraId="749D268A" w14:textId="77777777" w:rsidR="00CC5A4A" w:rsidRPr="00B92995" w:rsidRDefault="00CC5A4A" w:rsidP="00CC5A4A">
            <w:pPr>
              <w:rPr>
                <w:lang w:val="sr-Cyrl-CS"/>
              </w:rPr>
            </w:pPr>
            <w:r w:rsidRPr="00B92995">
              <w:rPr>
                <w:lang w:val="sr-Cyrl-CS"/>
              </w:rPr>
              <w:t>Медицина</w:t>
            </w:r>
          </w:p>
        </w:tc>
      </w:tr>
      <w:tr w:rsidR="00CC5A4A" w:rsidRPr="00B92995" w14:paraId="23F68C9D" w14:textId="77777777" w:rsidTr="00CC5A4A">
        <w:trPr>
          <w:trHeight w:val="227"/>
          <w:jc w:val="center"/>
        </w:trPr>
        <w:tc>
          <w:tcPr>
            <w:tcW w:w="5000" w:type="pct"/>
            <w:gridSpan w:val="12"/>
            <w:vAlign w:val="center"/>
          </w:tcPr>
          <w:p w14:paraId="63F4087D" w14:textId="77777777" w:rsidR="00CC5A4A" w:rsidRPr="00B92995" w:rsidRDefault="00CC5A4A" w:rsidP="00CC5A4A">
            <w:pPr>
              <w:spacing w:after="60"/>
              <w:rPr>
                <w:lang w:val="sr-Cyrl-CS"/>
              </w:rPr>
            </w:pPr>
            <w:r w:rsidRPr="00B92995">
              <w:rPr>
                <w:b/>
                <w:lang w:val="sr-Cyrl-CS"/>
              </w:rPr>
              <w:t>Списак дисертација</w:t>
            </w:r>
            <w:r w:rsidRPr="00B92995">
              <w:rPr>
                <w:b/>
              </w:rPr>
              <w:t xml:space="preserve">-докторских уметничких пројеката </w:t>
            </w:r>
            <w:r w:rsidRPr="00B92995">
              <w:rPr>
                <w:b/>
                <w:lang w:val="sr-Cyrl-CS"/>
              </w:rPr>
              <w:t>а у којима је наставнк ментор или је био ментор у претходних 10 година</w:t>
            </w:r>
          </w:p>
        </w:tc>
      </w:tr>
      <w:tr w:rsidR="00CC5A4A" w:rsidRPr="00B92995" w14:paraId="1687232A" w14:textId="77777777" w:rsidTr="00CC5A4A">
        <w:trPr>
          <w:trHeight w:val="227"/>
          <w:jc w:val="center"/>
        </w:trPr>
        <w:tc>
          <w:tcPr>
            <w:tcW w:w="248" w:type="pct"/>
            <w:vAlign w:val="center"/>
          </w:tcPr>
          <w:p w14:paraId="447D1769" w14:textId="77777777" w:rsidR="00CC5A4A" w:rsidRPr="00B92995" w:rsidRDefault="00CC5A4A" w:rsidP="00CC5A4A">
            <w:pPr>
              <w:spacing w:after="60"/>
              <w:rPr>
                <w:lang w:val="sr-Cyrl-CS"/>
              </w:rPr>
            </w:pPr>
            <w:r w:rsidRPr="00B92995">
              <w:rPr>
                <w:lang w:val="sr-Cyrl-CS"/>
              </w:rPr>
              <w:t>Р.Б.</w:t>
            </w:r>
          </w:p>
        </w:tc>
        <w:tc>
          <w:tcPr>
            <w:tcW w:w="2495" w:type="pct"/>
            <w:gridSpan w:val="4"/>
            <w:vAlign w:val="center"/>
          </w:tcPr>
          <w:p w14:paraId="0DF7EFB7" w14:textId="77777777" w:rsidR="00CC5A4A" w:rsidRPr="00B92995" w:rsidRDefault="00CC5A4A" w:rsidP="00CC5A4A">
            <w:pPr>
              <w:spacing w:after="60"/>
            </w:pPr>
            <w:r w:rsidRPr="00B92995">
              <w:rPr>
                <w:lang w:val="sr-Cyrl-CS"/>
              </w:rPr>
              <w:t>Наслов дисертације</w:t>
            </w:r>
            <w:r w:rsidRPr="00B92995">
              <w:t xml:space="preserve">- докторског уметничког пројекта </w:t>
            </w:r>
          </w:p>
        </w:tc>
        <w:tc>
          <w:tcPr>
            <w:tcW w:w="1009" w:type="pct"/>
            <w:gridSpan w:val="3"/>
            <w:vAlign w:val="center"/>
          </w:tcPr>
          <w:p w14:paraId="7BB3E76A" w14:textId="77777777" w:rsidR="00CC5A4A" w:rsidRPr="00B92995" w:rsidRDefault="00CC5A4A" w:rsidP="00CC5A4A">
            <w:pPr>
              <w:spacing w:after="60"/>
              <w:rPr>
                <w:lang w:val="sr-Cyrl-CS"/>
              </w:rPr>
            </w:pPr>
            <w:r w:rsidRPr="00B92995">
              <w:rPr>
                <w:lang w:val="sr-Cyrl-CS"/>
              </w:rPr>
              <w:t>Име кандидата</w:t>
            </w:r>
          </w:p>
        </w:tc>
        <w:tc>
          <w:tcPr>
            <w:tcW w:w="605" w:type="pct"/>
            <w:gridSpan w:val="2"/>
            <w:vAlign w:val="center"/>
          </w:tcPr>
          <w:p w14:paraId="3FC1C698" w14:textId="77777777" w:rsidR="00CC5A4A" w:rsidRPr="00B92995" w:rsidRDefault="00CC5A4A" w:rsidP="00CC5A4A">
            <w:pPr>
              <w:spacing w:after="60"/>
              <w:rPr>
                <w:lang w:val="sr-Cyrl-CS"/>
              </w:rPr>
            </w:pPr>
            <w:r w:rsidRPr="00B92995">
              <w:rPr>
                <w:lang w:val="sr-Cyrl-CS"/>
              </w:rPr>
              <w:t xml:space="preserve">*пријављена </w:t>
            </w:r>
          </w:p>
        </w:tc>
        <w:tc>
          <w:tcPr>
            <w:tcW w:w="643" w:type="pct"/>
            <w:gridSpan w:val="2"/>
            <w:vAlign w:val="center"/>
          </w:tcPr>
          <w:p w14:paraId="07EC7D14" w14:textId="77777777" w:rsidR="00CC5A4A" w:rsidRPr="00B92995" w:rsidRDefault="00CC5A4A" w:rsidP="00CC5A4A">
            <w:pPr>
              <w:spacing w:after="60"/>
              <w:rPr>
                <w:lang w:val="sr-Cyrl-CS"/>
              </w:rPr>
            </w:pPr>
            <w:r w:rsidRPr="00B92995">
              <w:rPr>
                <w:lang w:val="sr-Cyrl-CS"/>
              </w:rPr>
              <w:t>** одбрањена</w:t>
            </w:r>
          </w:p>
        </w:tc>
      </w:tr>
      <w:tr w:rsidR="00CC5A4A" w:rsidRPr="00B92995" w14:paraId="104B6D18" w14:textId="77777777" w:rsidTr="00CC5A4A">
        <w:trPr>
          <w:trHeight w:val="227"/>
          <w:jc w:val="center"/>
        </w:trPr>
        <w:tc>
          <w:tcPr>
            <w:tcW w:w="248" w:type="pct"/>
            <w:vAlign w:val="center"/>
          </w:tcPr>
          <w:p w14:paraId="595CACE4" w14:textId="77777777" w:rsidR="00CC5A4A" w:rsidRPr="00B92995" w:rsidRDefault="00CC5A4A" w:rsidP="00CC5A4A">
            <w:pPr>
              <w:spacing w:after="60"/>
              <w:rPr>
                <w:lang w:val="sr-Cyrl-CS"/>
              </w:rPr>
            </w:pPr>
            <w:r w:rsidRPr="00B92995">
              <w:rPr>
                <w:lang w:val="sr-Cyrl-CS"/>
              </w:rPr>
              <w:t>1.</w:t>
            </w:r>
          </w:p>
        </w:tc>
        <w:tc>
          <w:tcPr>
            <w:tcW w:w="2495" w:type="pct"/>
            <w:gridSpan w:val="4"/>
            <w:vAlign w:val="center"/>
          </w:tcPr>
          <w:p w14:paraId="53618E3A" w14:textId="77777777" w:rsidR="00CC5A4A" w:rsidRPr="00B92995" w:rsidRDefault="00CC5A4A" w:rsidP="00CC5A4A">
            <w:pPr>
              <w:spacing w:after="60"/>
              <w:rPr>
                <w:lang w:val="sr-Cyrl-CS"/>
              </w:rPr>
            </w:pPr>
            <w:r w:rsidRPr="00B92995">
              <w:rPr>
                <w:lang w:val="sr-Cyrl-CS"/>
              </w:rPr>
              <w:t>ПРОЦЕНА ИЗЛОЖЕНОСТИ СТУДЕНТСКЕ ПОПУЛАЦИЈЕ НАТРИЈУМУ ИЗ ПРЕХРАМБЕНИХ ИЗВОРА</w:t>
            </w:r>
          </w:p>
        </w:tc>
        <w:tc>
          <w:tcPr>
            <w:tcW w:w="1009" w:type="pct"/>
            <w:gridSpan w:val="3"/>
            <w:vAlign w:val="center"/>
          </w:tcPr>
          <w:p w14:paraId="609A3A62" w14:textId="77777777" w:rsidR="00CC5A4A" w:rsidRPr="00B92995" w:rsidRDefault="00CC5A4A" w:rsidP="00CC5A4A">
            <w:pPr>
              <w:spacing w:after="60"/>
              <w:rPr>
                <w:lang w:val="sr-Cyrl-CS"/>
              </w:rPr>
            </w:pPr>
            <w:r w:rsidRPr="00B92995">
              <w:rPr>
                <w:lang w:val="sr-Cyrl-CS"/>
              </w:rPr>
              <w:t>Јелена Јовичић Бата</w:t>
            </w:r>
          </w:p>
        </w:tc>
        <w:tc>
          <w:tcPr>
            <w:tcW w:w="605" w:type="pct"/>
            <w:gridSpan w:val="2"/>
            <w:vAlign w:val="center"/>
          </w:tcPr>
          <w:p w14:paraId="17BEB059" w14:textId="77777777" w:rsidR="00CC5A4A" w:rsidRPr="00B92995" w:rsidRDefault="00CC5A4A" w:rsidP="00CC5A4A">
            <w:pPr>
              <w:spacing w:after="60"/>
              <w:rPr>
                <w:lang w:val="sr-Cyrl-CS"/>
              </w:rPr>
            </w:pPr>
          </w:p>
        </w:tc>
        <w:tc>
          <w:tcPr>
            <w:tcW w:w="643" w:type="pct"/>
            <w:gridSpan w:val="2"/>
            <w:vAlign w:val="center"/>
          </w:tcPr>
          <w:p w14:paraId="09800BA5" w14:textId="77777777" w:rsidR="00CC5A4A" w:rsidRPr="00B92995" w:rsidRDefault="00CC5A4A" w:rsidP="00CC5A4A">
            <w:pPr>
              <w:spacing w:after="60"/>
              <w:rPr>
                <w:lang w:val="sr-Cyrl-CS"/>
              </w:rPr>
            </w:pPr>
            <w:r w:rsidRPr="00B92995">
              <w:rPr>
                <w:lang w:val="sr-Cyrl-CS"/>
              </w:rPr>
              <w:t>2013.</w:t>
            </w:r>
          </w:p>
        </w:tc>
      </w:tr>
      <w:tr w:rsidR="00CC5A4A" w:rsidRPr="00B92995" w14:paraId="76995015" w14:textId="77777777" w:rsidTr="00CC5A4A">
        <w:trPr>
          <w:trHeight w:val="227"/>
          <w:jc w:val="center"/>
        </w:trPr>
        <w:tc>
          <w:tcPr>
            <w:tcW w:w="248" w:type="pct"/>
            <w:vAlign w:val="center"/>
          </w:tcPr>
          <w:p w14:paraId="38A4F561" w14:textId="77777777" w:rsidR="00CC5A4A" w:rsidRPr="00B92995" w:rsidRDefault="00CC5A4A" w:rsidP="00CC5A4A">
            <w:pPr>
              <w:spacing w:after="60"/>
              <w:rPr>
                <w:lang w:val="sr-Cyrl-CS"/>
              </w:rPr>
            </w:pPr>
            <w:r w:rsidRPr="00B92995">
              <w:rPr>
                <w:lang w:val="sr-Cyrl-CS"/>
              </w:rPr>
              <w:t>2.</w:t>
            </w:r>
          </w:p>
        </w:tc>
        <w:tc>
          <w:tcPr>
            <w:tcW w:w="2495" w:type="pct"/>
            <w:gridSpan w:val="4"/>
            <w:vAlign w:val="center"/>
          </w:tcPr>
          <w:p w14:paraId="2B6664E7" w14:textId="77777777" w:rsidR="00CC5A4A" w:rsidRPr="00B92995" w:rsidRDefault="00CC5A4A" w:rsidP="00CC5A4A">
            <w:pPr>
              <w:spacing w:after="60"/>
              <w:rPr>
                <w:lang w:val="sr-Cyrl-CS"/>
              </w:rPr>
            </w:pPr>
            <w:r w:rsidRPr="00B92995">
              <w:rPr>
                <w:lang w:val="sr-Cyrl-CS"/>
              </w:rPr>
              <w:t>ЧИНИОЦИ ЖИВОТНЕ СРЕДИНЕ КАО ПОКАЗАТЕЉИ УТИЦАЈА НА ЗДРАВЉЕ ЉУДИ</w:t>
            </w:r>
          </w:p>
        </w:tc>
        <w:tc>
          <w:tcPr>
            <w:tcW w:w="1009" w:type="pct"/>
            <w:gridSpan w:val="3"/>
            <w:vAlign w:val="center"/>
          </w:tcPr>
          <w:p w14:paraId="1239C385" w14:textId="77777777" w:rsidR="00CC5A4A" w:rsidRPr="00B92995" w:rsidRDefault="00CC5A4A" w:rsidP="00CC5A4A">
            <w:pPr>
              <w:spacing w:after="60"/>
              <w:rPr>
                <w:lang w:val="sr-Cyrl-CS"/>
              </w:rPr>
            </w:pPr>
            <w:r w:rsidRPr="00B92995">
              <w:rPr>
                <w:lang w:val="sr-Cyrl-CS"/>
              </w:rPr>
              <w:t>Сања Бијеловић</w:t>
            </w:r>
          </w:p>
        </w:tc>
        <w:tc>
          <w:tcPr>
            <w:tcW w:w="605" w:type="pct"/>
            <w:gridSpan w:val="2"/>
            <w:vAlign w:val="center"/>
          </w:tcPr>
          <w:p w14:paraId="4D0E7160" w14:textId="77777777" w:rsidR="00CC5A4A" w:rsidRPr="00B92995" w:rsidRDefault="00CC5A4A" w:rsidP="00CC5A4A">
            <w:pPr>
              <w:spacing w:after="60"/>
              <w:rPr>
                <w:lang w:val="sr-Cyrl-CS"/>
              </w:rPr>
            </w:pPr>
          </w:p>
        </w:tc>
        <w:tc>
          <w:tcPr>
            <w:tcW w:w="643" w:type="pct"/>
            <w:gridSpan w:val="2"/>
            <w:vAlign w:val="center"/>
          </w:tcPr>
          <w:p w14:paraId="3E204239" w14:textId="77777777" w:rsidR="00CC5A4A" w:rsidRPr="00B92995" w:rsidRDefault="00CC5A4A" w:rsidP="00CC5A4A">
            <w:pPr>
              <w:spacing w:after="60"/>
              <w:rPr>
                <w:lang w:val="sr-Cyrl-CS"/>
              </w:rPr>
            </w:pPr>
            <w:r w:rsidRPr="00B92995">
              <w:rPr>
                <w:lang w:val="sr-Cyrl-CS"/>
              </w:rPr>
              <w:t>2011.</w:t>
            </w:r>
          </w:p>
        </w:tc>
      </w:tr>
      <w:tr w:rsidR="00CC5A4A" w:rsidRPr="00B92995" w14:paraId="526B4FF9" w14:textId="77777777" w:rsidTr="00CC5A4A">
        <w:trPr>
          <w:trHeight w:val="227"/>
          <w:jc w:val="center"/>
        </w:trPr>
        <w:tc>
          <w:tcPr>
            <w:tcW w:w="5000" w:type="pct"/>
            <w:gridSpan w:val="12"/>
            <w:vAlign w:val="center"/>
          </w:tcPr>
          <w:p w14:paraId="72A22B7D" w14:textId="77777777" w:rsidR="00CC5A4A" w:rsidRPr="00B92995" w:rsidRDefault="00CC5A4A" w:rsidP="00CC5A4A">
            <w:pPr>
              <w:spacing w:after="60"/>
              <w:rPr>
                <w:lang w:val="sr-Cyrl-CS"/>
              </w:rPr>
            </w:pPr>
            <w:r w:rsidRPr="00B92995">
              <w:rPr>
                <w:lang w:val="sr-Cyrl-CS"/>
              </w:rPr>
              <w:t>*Година  у којој је дисертација</w:t>
            </w:r>
            <w:r w:rsidRPr="00B92995">
              <w:t xml:space="preserve">-докторски уметнички пројекат </w:t>
            </w:r>
            <w:r w:rsidRPr="00B92995">
              <w:rPr>
                <w:lang w:val="sr-Cyrl-CS"/>
              </w:rPr>
              <w:t xml:space="preserve"> пријављена</w:t>
            </w:r>
            <w:r w:rsidRPr="00B92995">
              <w:t xml:space="preserve">-пријављен </w:t>
            </w:r>
            <w:r w:rsidRPr="00B92995">
              <w:rPr>
                <w:lang w:val="sr-Cyrl-CS"/>
              </w:rPr>
              <w:t>(само за дисертације</w:t>
            </w:r>
            <w:r w:rsidRPr="00B92995">
              <w:t xml:space="preserve">-докторске уметничке пројекте </w:t>
            </w:r>
            <w:r w:rsidRPr="00B92995">
              <w:rPr>
                <w:lang w:val="sr-Cyrl-CS"/>
              </w:rPr>
              <w:t xml:space="preserve"> које су у току), ** Година у којој је дисертација</w:t>
            </w:r>
            <w:r w:rsidRPr="00B92995">
              <w:t xml:space="preserve">-докторски уметнички пројекат </w:t>
            </w:r>
            <w:r w:rsidRPr="00B92995">
              <w:rPr>
                <w:lang w:val="sr-Cyrl-CS"/>
              </w:rPr>
              <w:t xml:space="preserve"> одбрањена (само за дисертације</w:t>
            </w:r>
            <w:r w:rsidRPr="00B92995">
              <w:t xml:space="preserve">-докторско уметничке пројекте </w:t>
            </w:r>
            <w:r w:rsidRPr="00B92995">
              <w:rPr>
                <w:lang w:val="sr-Cyrl-CS"/>
              </w:rPr>
              <w:t xml:space="preserve"> из ранијег периода)</w:t>
            </w:r>
          </w:p>
        </w:tc>
      </w:tr>
      <w:tr w:rsidR="00CC5A4A" w:rsidRPr="00B92995" w14:paraId="4F1BBE8A" w14:textId="77777777" w:rsidTr="00CC5A4A">
        <w:trPr>
          <w:trHeight w:val="227"/>
          <w:jc w:val="center"/>
        </w:trPr>
        <w:tc>
          <w:tcPr>
            <w:tcW w:w="5000" w:type="pct"/>
            <w:gridSpan w:val="12"/>
            <w:vAlign w:val="center"/>
          </w:tcPr>
          <w:p w14:paraId="79E7DD25" w14:textId="77777777" w:rsidR="00CC5A4A" w:rsidRPr="00B92995" w:rsidRDefault="00CC5A4A" w:rsidP="00CC5A4A">
            <w:pPr>
              <w:spacing w:after="60"/>
              <w:rPr>
                <w:b/>
              </w:rPr>
            </w:pPr>
            <w:r w:rsidRPr="00B92995">
              <w:rPr>
                <w:b/>
                <w:lang w:val="sr-Cyrl-CS"/>
              </w:rPr>
              <w:t>Категоризација публикације</w:t>
            </w:r>
            <w:r w:rsidRPr="00B92995">
              <w:rPr>
                <w:b/>
              </w:rPr>
              <w:t xml:space="preserve"> научних радова  из области датог студијског програма </w:t>
            </w:r>
            <w:r w:rsidRPr="00B92995">
              <w:rPr>
                <w:b/>
                <w:lang w:val="sr-Cyrl-CS"/>
              </w:rPr>
              <w:t xml:space="preserve"> према класификацији ре</w:t>
            </w:r>
            <w:r w:rsidRPr="00B92995">
              <w:rPr>
                <w:b/>
              </w:rPr>
              <w:t>с</w:t>
            </w:r>
            <w:r w:rsidRPr="00B92995">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CC5A4A" w:rsidRPr="00B92995" w14:paraId="29B90F34" w14:textId="77777777" w:rsidTr="00CC5A4A">
        <w:trPr>
          <w:trHeight w:val="227"/>
          <w:jc w:val="center"/>
        </w:trPr>
        <w:tc>
          <w:tcPr>
            <w:tcW w:w="248" w:type="pct"/>
            <w:vAlign w:val="center"/>
          </w:tcPr>
          <w:p w14:paraId="766995C3" w14:textId="77777777" w:rsidR="00CC5A4A" w:rsidRPr="00B92995" w:rsidRDefault="00CC5A4A" w:rsidP="00CC5A4A">
            <w:pPr>
              <w:spacing w:after="60"/>
              <w:ind w:left="-23"/>
              <w:jc w:val="center"/>
            </w:pPr>
            <w:r w:rsidRPr="00B92995">
              <w:t>Р.б.</w:t>
            </w:r>
          </w:p>
        </w:tc>
        <w:tc>
          <w:tcPr>
            <w:tcW w:w="3389" w:type="pct"/>
            <w:gridSpan w:val="6"/>
          </w:tcPr>
          <w:p w14:paraId="4BA34DAE" w14:textId="77777777" w:rsidR="00CC5A4A" w:rsidRPr="00B92995" w:rsidRDefault="00CC5A4A" w:rsidP="00CC5A4A">
            <w:pPr>
              <w:pStyle w:val="TableParagraph"/>
              <w:ind w:left="65" w:right="-15"/>
              <w:jc w:val="center"/>
              <w:rPr>
                <w:sz w:val="20"/>
                <w:szCs w:val="20"/>
              </w:rPr>
            </w:pPr>
            <w:r w:rsidRPr="00B92995">
              <w:rPr>
                <w:sz w:val="20"/>
                <w:szCs w:val="20"/>
              </w:rPr>
              <w:t>Публикација</w:t>
            </w:r>
          </w:p>
        </w:tc>
        <w:tc>
          <w:tcPr>
            <w:tcW w:w="537" w:type="pct"/>
            <w:gridSpan w:val="2"/>
          </w:tcPr>
          <w:p w14:paraId="52E7DF28" w14:textId="77777777" w:rsidR="00CC5A4A" w:rsidRPr="00B92995" w:rsidRDefault="00CC5A4A" w:rsidP="00CC5A4A">
            <w:pPr>
              <w:pStyle w:val="TableParagraph"/>
              <w:spacing w:before="8"/>
              <w:jc w:val="center"/>
              <w:rPr>
                <w:sz w:val="20"/>
                <w:szCs w:val="20"/>
              </w:rPr>
            </w:pPr>
            <w:r w:rsidRPr="00B92995">
              <w:rPr>
                <w:sz w:val="20"/>
                <w:szCs w:val="20"/>
              </w:rPr>
              <w:t>ISI</w:t>
            </w:r>
          </w:p>
        </w:tc>
        <w:tc>
          <w:tcPr>
            <w:tcW w:w="372" w:type="pct"/>
            <w:gridSpan w:val="2"/>
          </w:tcPr>
          <w:p w14:paraId="2468DE4B" w14:textId="77777777" w:rsidR="00CC5A4A" w:rsidRPr="00B92995" w:rsidRDefault="00CC5A4A" w:rsidP="00CC5A4A">
            <w:pPr>
              <w:pStyle w:val="TableParagraph"/>
              <w:spacing w:before="8"/>
              <w:jc w:val="center"/>
              <w:rPr>
                <w:sz w:val="20"/>
                <w:szCs w:val="20"/>
              </w:rPr>
            </w:pPr>
            <w:r w:rsidRPr="00B92995">
              <w:rPr>
                <w:sz w:val="20"/>
                <w:szCs w:val="20"/>
              </w:rPr>
              <w:t>M</w:t>
            </w:r>
          </w:p>
        </w:tc>
        <w:tc>
          <w:tcPr>
            <w:tcW w:w="454" w:type="pct"/>
          </w:tcPr>
          <w:p w14:paraId="6624B823" w14:textId="77777777" w:rsidR="00CC5A4A" w:rsidRPr="00B92995" w:rsidRDefault="00CC5A4A" w:rsidP="00CC5A4A">
            <w:pPr>
              <w:pStyle w:val="TableParagraph"/>
              <w:spacing w:before="8"/>
              <w:jc w:val="center"/>
              <w:rPr>
                <w:sz w:val="20"/>
                <w:szCs w:val="20"/>
              </w:rPr>
            </w:pPr>
            <w:r w:rsidRPr="00B92995">
              <w:rPr>
                <w:sz w:val="20"/>
                <w:szCs w:val="20"/>
              </w:rPr>
              <w:t>IF</w:t>
            </w:r>
          </w:p>
        </w:tc>
      </w:tr>
      <w:tr w:rsidR="007F6FC2" w:rsidRPr="00B92995" w14:paraId="0503C875" w14:textId="77777777" w:rsidTr="00CC5A4A">
        <w:trPr>
          <w:trHeight w:val="227"/>
          <w:jc w:val="center"/>
        </w:trPr>
        <w:tc>
          <w:tcPr>
            <w:tcW w:w="248" w:type="pct"/>
            <w:vAlign w:val="center"/>
          </w:tcPr>
          <w:p w14:paraId="3B88F45D" w14:textId="77777777" w:rsidR="007F6FC2" w:rsidRDefault="007F6FC2" w:rsidP="003C68DE">
            <w:pPr>
              <w:jc w:val="center"/>
            </w:pPr>
            <w:r>
              <w:t>1.</w:t>
            </w:r>
          </w:p>
        </w:tc>
        <w:tc>
          <w:tcPr>
            <w:tcW w:w="3389" w:type="pct"/>
            <w:gridSpan w:val="6"/>
            <w:shd w:val="clear" w:color="auto" w:fill="auto"/>
            <w:vAlign w:val="center"/>
          </w:tcPr>
          <w:p w14:paraId="10136FA7" w14:textId="77777777" w:rsidR="007F6FC2" w:rsidRDefault="003C68DE" w:rsidP="00FB1ED1">
            <w:pPr>
              <w:jc w:val="both"/>
            </w:pPr>
            <w:r>
              <w:t xml:space="preserve">Menniti-Ippolito F, Aiello E, Arzenton E, Assisi A, Blaznik U, Castenmiller JJM, Crevani M, de Clock D, Di Giacomo S, Emendi S, Gonella LA, Ippoliti I, Lindquist M, Magro L, Mazzanti G, Mores N, Moretti U, Moro PA, </w:t>
            </w:r>
            <w:r w:rsidRPr="003C68DE">
              <w:rPr>
                <w:b/>
              </w:rPr>
              <w:t>Novakovic B</w:t>
            </w:r>
            <w:r>
              <w:t xml:space="preserve">, Raschi E, Siksna I, Valetto MR, Vitalone A, Vo Van Regnault G. </w:t>
            </w:r>
            <w:r>
              <w:fldChar w:fldCharType="begin"/>
            </w:r>
            <w:r>
              <w:instrText xml:space="preserve"> HYPERLINK "C:\\Users\\zorica.djokic\\Downloads\\s40264-023-01284-6-1.pdf" </w:instrText>
            </w:r>
            <w:r>
              <w:fldChar w:fldCharType="separate"/>
            </w:r>
            <w:r w:rsidRPr="003C68DE">
              <w:rPr>
                <w:rStyle w:val="Hyperlink"/>
              </w:rPr>
              <w:t>Erice Manifesto 2022: On the Surveillance of Potential Harms Caused by Food Supplements in Europe</w:t>
            </w:r>
            <w:r>
              <w:fldChar w:fldCharType="end"/>
            </w:r>
            <w:r>
              <w:t>. Drug Saf. 2023 Apr 6. doi: 10.1007/s40264-023-01284-6.</w:t>
            </w:r>
          </w:p>
        </w:tc>
        <w:tc>
          <w:tcPr>
            <w:tcW w:w="537" w:type="pct"/>
            <w:gridSpan w:val="2"/>
            <w:shd w:val="clear" w:color="auto" w:fill="auto"/>
            <w:vAlign w:val="center"/>
          </w:tcPr>
          <w:p w14:paraId="54AF014E" w14:textId="77777777" w:rsidR="007F6FC2" w:rsidRDefault="003C68DE" w:rsidP="00D1517D">
            <w:pPr>
              <w:jc w:val="center"/>
            </w:pPr>
            <w:r>
              <w:t>63/302</w:t>
            </w:r>
          </w:p>
          <w:p w14:paraId="58D1EA8C" w14:textId="77777777" w:rsidR="003C68DE" w:rsidRDefault="003C68DE" w:rsidP="00D1517D">
            <w:pPr>
              <w:jc w:val="center"/>
            </w:pPr>
            <w:r>
              <w:t>(2021)</w:t>
            </w:r>
          </w:p>
        </w:tc>
        <w:tc>
          <w:tcPr>
            <w:tcW w:w="372" w:type="pct"/>
            <w:gridSpan w:val="2"/>
            <w:shd w:val="clear" w:color="auto" w:fill="auto"/>
            <w:vAlign w:val="center"/>
          </w:tcPr>
          <w:p w14:paraId="081FD534" w14:textId="77777777" w:rsidR="007F6FC2" w:rsidRDefault="003C68DE" w:rsidP="00D1517D">
            <w:pPr>
              <w:jc w:val="center"/>
            </w:pPr>
            <w:r>
              <w:t>21</w:t>
            </w:r>
          </w:p>
          <w:p w14:paraId="4842E549" w14:textId="77777777" w:rsidR="003C68DE" w:rsidRDefault="003C68DE" w:rsidP="00D1517D">
            <w:pPr>
              <w:jc w:val="center"/>
            </w:pPr>
            <w:r>
              <w:t>(2021)</w:t>
            </w:r>
          </w:p>
        </w:tc>
        <w:tc>
          <w:tcPr>
            <w:tcW w:w="454" w:type="pct"/>
            <w:shd w:val="clear" w:color="auto" w:fill="auto"/>
            <w:vAlign w:val="center"/>
          </w:tcPr>
          <w:p w14:paraId="4963009A" w14:textId="77777777" w:rsidR="007F6FC2" w:rsidRDefault="003C68DE" w:rsidP="00D1517D">
            <w:pPr>
              <w:jc w:val="center"/>
            </w:pPr>
            <w:r>
              <w:t>5.228</w:t>
            </w:r>
          </w:p>
          <w:p w14:paraId="761B010A" w14:textId="77777777" w:rsidR="003C68DE" w:rsidRDefault="003C68DE" w:rsidP="00D1517D">
            <w:pPr>
              <w:jc w:val="center"/>
            </w:pPr>
            <w:r>
              <w:t>(2021)</w:t>
            </w:r>
          </w:p>
        </w:tc>
      </w:tr>
      <w:tr w:rsidR="007F6FC2" w:rsidRPr="00B92995" w14:paraId="32110CB4" w14:textId="77777777" w:rsidTr="00CC5A4A">
        <w:trPr>
          <w:trHeight w:val="227"/>
          <w:jc w:val="center"/>
        </w:trPr>
        <w:tc>
          <w:tcPr>
            <w:tcW w:w="248" w:type="pct"/>
            <w:vAlign w:val="center"/>
          </w:tcPr>
          <w:p w14:paraId="7D2DF2AA" w14:textId="77777777" w:rsidR="007F6FC2" w:rsidRPr="0073032D" w:rsidRDefault="007F6FC2" w:rsidP="003C68DE">
            <w:pPr>
              <w:jc w:val="center"/>
            </w:pPr>
            <w:r>
              <w:t>2.</w:t>
            </w:r>
          </w:p>
        </w:tc>
        <w:tc>
          <w:tcPr>
            <w:tcW w:w="3389" w:type="pct"/>
            <w:gridSpan w:val="6"/>
            <w:shd w:val="clear" w:color="auto" w:fill="auto"/>
            <w:vAlign w:val="center"/>
          </w:tcPr>
          <w:p w14:paraId="66C34C81" w14:textId="77777777" w:rsidR="007F6FC2" w:rsidRDefault="007F6FC2" w:rsidP="00FB1ED1">
            <w:pPr>
              <w:jc w:val="both"/>
            </w:pPr>
            <w:r>
              <w:t xml:space="preserve">Ilić M, Pang H, Vlaški T, Grujičić M, </w:t>
            </w:r>
            <w:r w:rsidRPr="0061287A">
              <w:rPr>
                <w:b/>
              </w:rPr>
              <w:t>Novaković</w:t>
            </w:r>
            <w:r>
              <w:t xml:space="preserve"> </w:t>
            </w:r>
            <w:r w:rsidRPr="00020E5C">
              <w:rPr>
                <w:b/>
              </w:rPr>
              <w:t>B</w:t>
            </w:r>
            <w:r>
              <w:t xml:space="preserve">. </w:t>
            </w:r>
            <w:r>
              <w:fldChar w:fldCharType="begin"/>
            </w:r>
            <w:r>
              <w:instrText xml:space="preserve"> HYPERLINK "https://www.mdpi.com/1660-4601/19/23/16240" </w:instrText>
            </w:r>
            <w:r>
              <w:fldChar w:fldCharType="separate"/>
            </w:r>
            <w:r w:rsidRPr="0015782C">
              <w:rPr>
                <w:rStyle w:val="Hyperlink"/>
              </w:rPr>
              <w:t>Motives and Barriers for Regular Physical Activity among Medical Students from the Western Balkans (South-East Europe Region)</w:t>
            </w:r>
            <w:r>
              <w:fldChar w:fldCharType="end"/>
            </w:r>
            <w:r>
              <w:t>. Int J Environ Res Public Health. 2022;19:16240. http://dx.doi.org/10.3390/ijerph192316240</w:t>
            </w:r>
          </w:p>
        </w:tc>
        <w:tc>
          <w:tcPr>
            <w:tcW w:w="537" w:type="pct"/>
            <w:gridSpan w:val="2"/>
            <w:shd w:val="clear" w:color="auto" w:fill="auto"/>
            <w:vAlign w:val="center"/>
          </w:tcPr>
          <w:p w14:paraId="6D5AEEAA" w14:textId="77777777" w:rsidR="007F6FC2" w:rsidRDefault="007F6FC2" w:rsidP="00D1517D">
            <w:pPr>
              <w:jc w:val="center"/>
            </w:pPr>
            <w:r>
              <w:t>81/302</w:t>
            </w:r>
          </w:p>
          <w:p w14:paraId="5482EEFC" w14:textId="77777777" w:rsidR="007F6FC2" w:rsidRDefault="007F6FC2" w:rsidP="00D1517D">
            <w:pPr>
              <w:jc w:val="center"/>
            </w:pPr>
            <w:r>
              <w:t>(2021)</w:t>
            </w:r>
          </w:p>
        </w:tc>
        <w:tc>
          <w:tcPr>
            <w:tcW w:w="372" w:type="pct"/>
            <w:gridSpan w:val="2"/>
            <w:shd w:val="clear" w:color="auto" w:fill="auto"/>
            <w:vAlign w:val="center"/>
          </w:tcPr>
          <w:p w14:paraId="3E1723DF" w14:textId="77777777" w:rsidR="007F6FC2" w:rsidRDefault="007F6FC2" w:rsidP="00D1517D">
            <w:pPr>
              <w:jc w:val="center"/>
            </w:pPr>
            <w:r>
              <w:t>21</w:t>
            </w:r>
          </w:p>
          <w:p w14:paraId="18C7F230" w14:textId="77777777" w:rsidR="007F6FC2" w:rsidRPr="002B0CF3" w:rsidRDefault="007F6FC2" w:rsidP="00D1517D">
            <w:pPr>
              <w:jc w:val="center"/>
              <w:rPr>
                <w:lang w:val="sr-Latn-RS"/>
              </w:rPr>
            </w:pPr>
            <w:r>
              <w:rPr>
                <w:lang w:val="sr-Latn-RS"/>
              </w:rPr>
              <w:t>(2021)</w:t>
            </w:r>
          </w:p>
        </w:tc>
        <w:tc>
          <w:tcPr>
            <w:tcW w:w="454" w:type="pct"/>
            <w:shd w:val="clear" w:color="auto" w:fill="auto"/>
            <w:vAlign w:val="center"/>
          </w:tcPr>
          <w:p w14:paraId="49A2DC8D" w14:textId="77777777" w:rsidR="007F6FC2" w:rsidRDefault="007F6FC2" w:rsidP="00D1517D">
            <w:pPr>
              <w:jc w:val="center"/>
            </w:pPr>
            <w:r>
              <w:t>4.614</w:t>
            </w:r>
          </w:p>
          <w:p w14:paraId="07F3E125" w14:textId="77777777" w:rsidR="007F6FC2" w:rsidRDefault="007F6FC2" w:rsidP="00D1517D">
            <w:pPr>
              <w:jc w:val="center"/>
            </w:pPr>
            <w:r>
              <w:t>(2021)</w:t>
            </w:r>
          </w:p>
        </w:tc>
      </w:tr>
      <w:tr w:rsidR="007F6FC2" w:rsidRPr="00B92995" w14:paraId="3369B4CB" w14:textId="77777777" w:rsidTr="00CC5A4A">
        <w:trPr>
          <w:trHeight w:val="227"/>
          <w:jc w:val="center"/>
        </w:trPr>
        <w:tc>
          <w:tcPr>
            <w:tcW w:w="248" w:type="pct"/>
            <w:vAlign w:val="center"/>
          </w:tcPr>
          <w:p w14:paraId="53211B13" w14:textId="77777777" w:rsidR="007F6FC2" w:rsidRPr="0073032D" w:rsidRDefault="007F6FC2" w:rsidP="003C68DE">
            <w:pPr>
              <w:jc w:val="center"/>
            </w:pPr>
            <w:r>
              <w:t>3</w:t>
            </w:r>
            <w:r w:rsidRPr="0073032D">
              <w:t>.</w:t>
            </w:r>
          </w:p>
        </w:tc>
        <w:tc>
          <w:tcPr>
            <w:tcW w:w="3389" w:type="pct"/>
            <w:gridSpan w:val="6"/>
            <w:shd w:val="clear" w:color="auto" w:fill="auto"/>
            <w:vAlign w:val="center"/>
          </w:tcPr>
          <w:p w14:paraId="38187EE5" w14:textId="77777777" w:rsidR="007F6FC2" w:rsidRPr="00F60CCB" w:rsidRDefault="007F6FC2" w:rsidP="00D1517D">
            <w:pPr>
              <w:jc w:val="both"/>
              <w:rPr>
                <w:b/>
              </w:rPr>
            </w:pPr>
            <w:r>
              <w:t xml:space="preserve">Vrkatić A, Grujičić M, </w:t>
            </w:r>
            <w:r w:rsidRPr="00D1517D">
              <w:t>Jovičić-Bata J</w:t>
            </w:r>
            <w:r>
              <w:t xml:space="preserve">, </w:t>
            </w:r>
            <w:r w:rsidRPr="00D1517D">
              <w:rPr>
                <w:b/>
              </w:rPr>
              <w:t>Novaković B</w:t>
            </w:r>
            <w:r>
              <w:t xml:space="preserve">. </w:t>
            </w:r>
            <w:r>
              <w:fldChar w:fldCharType="begin"/>
            </w:r>
            <w:r>
              <w:instrText xml:space="preserve"> HYPERLINK "https://www.mdpi.com/2227-9032/10/11/2222/htm" </w:instrText>
            </w:r>
            <w:r>
              <w:fldChar w:fldCharType="separate"/>
            </w:r>
            <w:r w:rsidRPr="00477345">
              <w:rPr>
                <w:rStyle w:val="Hyperlink"/>
              </w:rPr>
              <w:t>Nutritional Knowledge, Confidence, Attitudes towards Nutritional Care and Nutrition Counselling Practice among General Practitioners</w:t>
            </w:r>
            <w:r>
              <w:fldChar w:fldCharType="end"/>
            </w:r>
            <w:r>
              <w:t>. Healthcare-Basel. 2022 Nov 7;10(11):2222.</w:t>
            </w:r>
          </w:p>
        </w:tc>
        <w:tc>
          <w:tcPr>
            <w:tcW w:w="537" w:type="pct"/>
            <w:gridSpan w:val="2"/>
            <w:shd w:val="clear" w:color="auto" w:fill="auto"/>
            <w:vAlign w:val="center"/>
          </w:tcPr>
          <w:p w14:paraId="1EC8EC9D" w14:textId="77777777" w:rsidR="007F6FC2" w:rsidRPr="00F60CCB" w:rsidRDefault="007F6FC2" w:rsidP="00D1517D">
            <w:pPr>
              <w:jc w:val="center"/>
            </w:pPr>
            <w:r>
              <w:t>50/109 (2021)</w:t>
            </w:r>
          </w:p>
        </w:tc>
        <w:tc>
          <w:tcPr>
            <w:tcW w:w="372" w:type="pct"/>
            <w:gridSpan w:val="2"/>
            <w:shd w:val="clear" w:color="auto" w:fill="auto"/>
            <w:vAlign w:val="center"/>
          </w:tcPr>
          <w:p w14:paraId="1D29F936" w14:textId="77777777" w:rsidR="007F6FC2" w:rsidRPr="00F60CCB" w:rsidRDefault="007F6FC2" w:rsidP="00D1517D">
            <w:pPr>
              <w:jc w:val="center"/>
            </w:pPr>
            <w:r>
              <w:t>22 (2021)</w:t>
            </w:r>
          </w:p>
        </w:tc>
        <w:tc>
          <w:tcPr>
            <w:tcW w:w="454" w:type="pct"/>
            <w:shd w:val="clear" w:color="auto" w:fill="auto"/>
            <w:vAlign w:val="center"/>
          </w:tcPr>
          <w:p w14:paraId="6E4A4C9A" w14:textId="77777777" w:rsidR="007F6FC2" w:rsidRPr="00F60CCB" w:rsidRDefault="007F6FC2" w:rsidP="00D1517D">
            <w:pPr>
              <w:jc w:val="center"/>
            </w:pPr>
            <w:r>
              <w:t>3.160 (2021)</w:t>
            </w:r>
          </w:p>
        </w:tc>
      </w:tr>
      <w:tr w:rsidR="007F6FC2" w:rsidRPr="00B92995" w14:paraId="4A2AB398" w14:textId="77777777" w:rsidTr="00CC5A4A">
        <w:trPr>
          <w:trHeight w:val="227"/>
          <w:jc w:val="center"/>
        </w:trPr>
        <w:tc>
          <w:tcPr>
            <w:tcW w:w="248" w:type="pct"/>
            <w:vAlign w:val="center"/>
          </w:tcPr>
          <w:p w14:paraId="7949AB88" w14:textId="77777777" w:rsidR="007F6FC2" w:rsidRPr="0073032D" w:rsidRDefault="007F6FC2" w:rsidP="003C68DE">
            <w:pPr>
              <w:jc w:val="center"/>
            </w:pPr>
            <w:r>
              <w:t>4</w:t>
            </w:r>
            <w:r w:rsidRPr="0073032D">
              <w:t>.</w:t>
            </w:r>
          </w:p>
        </w:tc>
        <w:tc>
          <w:tcPr>
            <w:tcW w:w="3389" w:type="pct"/>
            <w:gridSpan w:val="6"/>
            <w:shd w:val="clear" w:color="auto" w:fill="auto"/>
            <w:vAlign w:val="center"/>
          </w:tcPr>
          <w:p w14:paraId="1A466DCE" w14:textId="77777777" w:rsidR="007F6FC2" w:rsidRDefault="007F6FC2" w:rsidP="004833A6">
            <w:pPr>
              <w:pStyle w:val="Heading1"/>
              <w:spacing w:before="0" w:after="0"/>
              <w:jc w:val="both"/>
              <w:rPr>
                <w:rFonts w:ascii="Times New Roman" w:hAnsi="Times New Roman" w:cs="Times New Roman"/>
                <w:b w:val="0"/>
                <w:color w:val="303030"/>
                <w:sz w:val="20"/>
                <w:szCs w:val="20"/>
                <w:shd w:val="clear" w:color="auto" w:fill="FFFFFF"/>
              </w:rPr>
            </w:pPr>
            <w:r w:rsidRPr="004833A6">
              <w:rPr>
                <w:rFonts w:ascii="Times New Roman" w:hAnsi="Times New Roman" w:cs="Times New Roman"/>
                <w:b w:val="0"/>
                <w:sz w:val="20"/>
                <w:szCs w:val="20"/>
              </w:rPr>
              <w:t>Grujicic M</w:t>
            </w:r>
            <w:r>
              <w:rPr>
                <w:rFonts w:ascii="Times New Roman" w:hAnsi="Times New Roman" w:cs="Times New Roman"/>
                <w:b w:val="0"/>
                <w:sz w:val="20"/>
                <w:szCs w:val="20"/>
              </w:rPr>
              <w:t xml:space="preserve">, Ilic M, </w:t>
            </w:r>
            <w:r w:rsidRPr="004833A6">
              <w:rPr>
                <w:rFonts w:ascii="Times New Roman" w:hAnsi="Times New Roman" w:cs="Times New Roman"/>
                <w:sz w:val="20"/>
                <w:szCs w:val="20"/>
              </w:rPr>
              <w:t>Novakovic B</w:t>
            </w:r>
            <w:r>
              <w:rPr>
                <w:rFonts w:ascii="Times New Roman" w:hAnsi="Times New Roman" w:cs="Times New Roman"/>
                <w:b w:val="0"/>
                <w:sz w:val="20"/>
                <w:szCs w:val="20"/>
              </w:rPr>
              <w:t xml:space="preserve">, Vrkatic A, Lozanov-Crvenkovic Z. </w:t>
            </w:r>
            <w:hyperlink r:id="rId5" w:history="1">
              <w:r w:rsidRPr="001E1BE0">
                <w:rPr>
                  <w:rStyle w:val="Hyperlink"/>
                  <w:rFonts w:ascii="Times New Roman" w:hAnsi="Times New Roman" w:cs="Times New Roman"/>
                  <w:b w:val="0"/>
                  <w:sz w:val="20"/>
                  <w:szCs w:val="20"/>
                </w:rPr>
                <w:t>Prevalence and associated factors of physical activity among medical students from the Western Balkans</w:t>
              </w:r>
            </w:hyperlink>
            <w:r>
              <w:rPr>
                <w:rFonts w:ascii="Times New Roman" w:hAnsi="Times New Roman" w:cs="Times New Roman"/>
                <w:b w:val="0"/>
                <w:sz w:val="20"/>
                <w:szCs w:val="20"/>
              </w:rPr>
              <w:t xml:space="preserve">. Int J Environ Res Public Health. 2022;19(13):7691. </w:t>
            </w:r>
            <w:r w:rsidRPr="00176EC4">
              <w:rPr>
                <w:rFonts w:ascii="Times New Roman" w:hAnsi="Times New Roman" w:cs="Times New Roman"/>
                <w:b w:val="0"/>
                <w:sz w:val="20"/>
                <w:szCs w:val="20"/>
              </w:rPr>
              <w:t>http://dx.doi.org/10.3390/ijerph19137691</w:t>
            </w:r>
          </w:p>
          <w:tbl>
            <w:tblPr>
              <w:tblW w:w="0" w:type="auto"/>
              <w:tblCellSpacing w:w="15" w:type="dxa"/>
              <w:tblLayout w:type="fixed"/>
              <w:tblLook w:val="04A0" w:firstRow="1" w:lastRow="0" w:firstColumn="1" w:lastColumn="0" w:noHBand="0" w:noVBand="1"/>
            </w:tblPr>
            <w:tblGrid>
              <w:gridCol w:w="570"/>
            </w:tblGrid>
            <w:tr w:rsidR="007F6FC2" w14:paraId="657CE0CD" w14:textId="77777777" w:rsidTr="004833A6">
              <w:trPr>
                <w:tblCellSpacing w:w="15" w:type="dxa"/>
              </w:trPr>
              <w:tc>
                <w:tcPr>
                  <w:tcW w:w="510" w:type="dxa"/>
                  <w:tcMar>
                    <w:top w:w="15" w:type="dxa"/>
                    <w:left w:w="15" w:type="dxa"/>
                    <w:bottom w:w="15" w:type="dxa"/>
                    <w:right w:w="15" w:type="dxa"/>
                  </w:tcMar>
                  <w:vAlign w:val="center"/>
                  <w:hideMark/>
                </w:tcPr>
                <w:p w14:paraId="1AEF32CF" w14:textId="77777777" w:rsidR="007F6FC2" w:rsidRDefault="007F6FC2" w:rsidP="004833A6">
                  <w:pPr>
                    <w:widowControl/>
                    <w:autoSpaceDE/>
                    <w:autoSpaceDN/>
                    <w:adjustRightInd/>
                    <w:spacing w:after="200" w:line="276" w:lineRule="auto"/>
                    <w:rPr>
                      <w:rFonts w:ascii="Calibri" w:eastAsia="Times New Roman" w:hAnsi="Calibri"/>
                      <w:sz w:val="22"/>
                      <w:szCs w:val="22"/>
                      <w:lang w:val="en-US" w:eastAsia="en-US"/>
                    </w:rPr>
                  </w:pPr>
                </w:p>
              </w:tc>
            </w:tr>
          </w:tbl>
          <w:p w14:paraId="02C8FBC2" w14:textId="77777777" w:rsidR="007F6FC2" w:rsidRPr="00053CA3" w:rsidRDefault="007F6FC2" w:rsidP="004833A6">
            <w:pPr>
              <w:pStyle w:val="Heading1"/>
              <w:spacing w:before="0" w:after="0"/>
              <w:jc w:val="both"/>
              <w:rPr>
                <w:rFonts w:ascii="Times New Roman" w:hAnsi="Times New Roman" w:cs="Times New Roman"/>
                <w:b w:val="0"/>
                <w:color w:val="303030"/>
                <w:sz w:val="20"/>
                <w:szCs w:val="20"/>
                <w:shd w:val="clear" w:color="auto" w:fill="FFFFFF"/>
              </w:rPr>
            </w:pPr>
          </w:p>
        </w:tc>
        <w:tc>
          <w:tcPr>
            <w:tcW w:w="537" w:type="pct"/>
            <w:gridSpan w:val="2"/>
            <w:shd w:val="clear" w:color="auto" w:fill="auto"/>
            <w:vAlign w:val="center"/>
          </w:tcPr>
          <w:p w14:paraId="736EE870" w14:textId="77777777" w:rsidR="007F6FC2" w:rsidRDefault="007F6FC2" w:rsidP="004833A6">
            <w:pPr>
              <w:jc w:val="center"/>
            </w:pPr>
            <w:r>
              <w:t>81/302</w:t>
            </w:r>
          </w:p>
          <w:p w14:paraId="00D7FBEB" w14:textId="77777777" w:rsidR="007F6FC2" w:rsidRDefault="007F6FC2" w:rsidP="004833A6">
            <w:pPr>
              <w:jc w:val="center"/>
            </w:pPr>
            <w:r>
              <w:t>(2021)</w:t>
            </w:r>
          </w:p>
        </w:tc>
        <w:tc>
          <w:tcPr>
            <w:tcW w:w="372" w:type="pct"/>
            <w:gridSpan w:val="2"/>
            <w:shd w:val="clear" w:color="auto" w:fill="auto"/>
            <w:vAlign w:val="center"/>
          </w:tcPr>
          <w:p w14:paraId="78E807B6" w14:textId="77777777" w:rsidR="007F6FC2" w:rsidRDefault="007F6FC2" w:rsidP="004833A6">
            <w:pPr>
              <w:jc w:val="center"/>
            </w:pPr>
            <w:r>
              <w:t>21</w:t>
            </w:r>
          </w:p>
          <w:p w14:paraId="787CCACC" w14:textId="77777777" w:rsidR="007F6FC2" w:rsidRDefault="007F6FC2" w:rsidP="004833A6">
            <w:pPr>
              <w:jc w:val="center"/>
            </w:pPr>
            <w:r>
              <w:t>(2021)</w:t>
            </w:r>
          </w:p>
        </w:tc>
        <w:tc>
          <w:tcPr>
            <w:tcW w:w="454" w:type="pct"/>
            <w:shd w:val="clear" w:color="auto" w:fill="auto"/>
            <w:vAlign w:val="center"/>
          </w:tcPr>
          <w:p w14:paraId="667CFF40" w14:textId="77777777" w:rsidR="007F6FC2" w:rsidRDefault="007F6FC2" w:rsidP="004833A6">
            <w:pPr>
              <w:jc w:val="center"/>
            </w:pPr>
            <w:r>
              <w:t>4.614</w:t>
            </w:r>
          </w:p>
          <w:p w14:paraId="64591FED" w14:textId="77777777" w:rsidR="007F6FC2" w:rsidRDefault="007F6FC2" w:rsidP="004833A6">
            <w:pPr>
              <w:jc w:val="center"/>
            </w:pPr>
            <w:r>
              <w:t>(2021)</w:t>
            </w:r>
          </w:p>
        </w:tc>
      </w:tr>
      <w:tr w:rsidR="007F6FC2" w:rsidRPr="00B92995" w14:paraId="23974C3E" w14:textId="77777777" w:rsidTr="00CC5A4A">
        <w:trPr>
          <w:trHeight w:val="227"/>
          <w:jc w:val="center"/>
        </w:trPr>
        <w:tc>
          <w:tcPr>
            <w:tcW w:w="248" w:type="pct"/>
            <w:vAlign w:val="center"/>
          </w:tcPr>
          <w:p w14:paraId="6338A8A8" w14:textId="77777777" w:rsidR="007F6FC2" w:rsidRPr="0073032D" w:rsidRDefault="007F6FC2" w:rsidP="003C68DE">
            <w:pPr>
              <w:jc w:val="center"/>
            </w:pPr>
            <w:r>
              <w:t>5</w:t>
            </w:r>
            <w:r w:rsidRPr="0073032D">
              <w:t>.</w:t>
            </w:r>
          </w:p>
        </w:tc>
        <w:tc>
          <w:tcPr>
            <w:tcW w:w="3389" w:type="pct"/>
            <w:gridSpan w:val="6"/>
            <w:shd w:val="clear" w:color="auto" w:fill="auto"/>
            <w:vAlign w:val="center"/>
          </w:tcPr>
          <w:p w14:paraId="0FAB1817" w14:textId="77777777" w:rsidR="007F6FC2" w:rsidRPr="00053CA3" w:rsidRDefault="007F6FC2" w:rsidP="00053CA3">
            <w:pPr>
              <w:pStyle w:val="Heading1"/>
              <w:spacing w:before="0" w:after="0"/>
              <w:jc w:val="both"/>
              <w:rPr>
                <w:rFonts w:ascii="Times New Roman" w:hAnsi="Times New Roman" w:cs="Times New Roman"/>
                <w:b w:val="0"/>
                <w:sz w:val="20"/>
                <w:szCs w:val="20"/>
              </w:rPr>
            </w:pPr>
            <w:r w:rsidRPr="00053CA3">
              <w:rPr>
                <w:rFonts w:ascii="Times New Roman" w:hAnsi="Times New Roman" w:cs="Times New Roman"/>
                <w:b w:val="0"/>
                <w:color w:val="303030"/>
                <w:sz w:val="20"/>
                <w:szCs w:val="20"/>
                <w:shd w:val="clear" w:color="auto" w:fill="FFFFFF"/>
              </w:rPr>
              <w:t xml:space="preserve">Ilić M, Grujičić M, </w:t>
            </w:r>
            <w:r w:rsidRPr="00053CA3">
              <w:rPr>
                <w:rFonts w:ascii="Times New Roman" w:hAnsi="Times New Roman" w:cs="Times New Roman"/>
                <w:color w:val="303030"/>
                <w:sz w:val="20"/>
                <w:szCs w:val="20"/>
                <w:shd w:val="clear" w:color="auto" w:fill="FFFFFF"/>
              </w:rPr>
              <w:t>Novaković B</w:t>
            </w:r>
            <w:r w:rsidRPr="00053CA3">
              <w:rPr>
                <w:rFonts w:ascii="Times New Roman" w:hAnsi="Times New Roman" w:cs="Times New Roman"/>
                <w:b w:val="0"/>
                <w:color w:val="303030"/>
                <w:sz w:val="20"/>
                <w:szCs w:val="20"/>
                <w:shd w:val="clear" w:color="auto" w:fill="FFFFFF"/>
              </w:rPr>
              <w:t xml:space="preserve">, Vrkatić A, Lozanov-Crvenković Z. </w:t>
            </w:r>
            <w:hyperlink r:id="rId6" w:history="1">
              <w:r w:rsidRPr="00053CA3">
                <w:rPr>
                  <w:rStyle w:val="Hyperlink"/>
                  <w:rFonts w:ascii="Times New Roman" w:hAnsi="Times New Roman" w:cs="Times New Roman"/>
                  <w:b w:val="0"/>
                  <w:sz w:val="20"/>
                  <w:szCs w:val="20"/>
                  <w:shd w:val="clear" w:color="auto" w:fill="FFFFFF"/>
                </w:rPr>
                <w:t>Cigarette Smoking among Medical Students from the Western Balkan</w:t>
              </w:r>
            </w:hyperlink>
            <w:r w:rsidRPr="00053CA3">
              <w:rPr>
                <w:rFonts w:ascii="Times New Roman" w:hAnsi="Times New Roman" w:cs="Times New Roman"/>
                <w:b w:val="0"/>
                <w:color w:val="303030"/>
                <w:sz w:val="20"/>
                <w:szCs w:val="20"/>
                <w:shd w:val="clear" w:color="auto" w:fill="FFFFFF"/>
              </w:rPr>
              <w:t>. </w:t>
            </w:r>
            <w:r w:rsidRPr="00053CA3">
              <w:rPr>
                <w:rFonts w:ascii="Times New Roman" w:hAnsi="Times New Roman" w:cs="Times New Roman"/>
                <w:b w:val="0"/>
                <w:iCs/>
                <w:color w:val="303030"/>
                <w:sz w:val="20"/>
                <w:szCs w:val="20"/>
                <w:shd w:val="clear" w:color="auto" w:fill="FFFFFF"/>
              </w:rPr>
              <w:t>Int J Environ Res Public Health</w:t>
            </w:r>
            <w:r w:rsidRPr="00053CA3">
              <w:rPr>
                <w:rFonts w:ascii="Times New Roman" w:hAnsi="Times New Roman" w:cs="Times New Roman"/>
                <w:b w:val="0"/>
                <w:color w:val="303030"/>
                <w:sz w:val="20"/>
                <w:szCs w:val="20"/>
                <w:shd w:val="clear" w:color="auto" w:fill="FFFFFF"/>
              </w:rPr>
              <w:t>. 2022;19(5):3055. doi:10.3390/ijerph19053055</w:t>
            </w:r>
          </w:p>
        </w:tc>
        <w:tc>
          <w:tcPr>
            <w:tcW w:w="537" w:type="pct"/>
            <w:gridSpan w:val="2"/>
            <w:shd w:val="clear" w:color="auto" w:fill="auto"/>
            <w:vAlign w:val="center"/>
          </w:tcPr>
          <w:p w14:paraId="31C7E2C7" w14:textId="77777777" w:rsidR="007F6FC2" w:rsidRDefault="007F6FC2" w:rsidP="004833A6">
            <w:pPr>
              <w:jc w:val="center"/>
            </w:pPr>
            <w:r>
              <w:t>81/302</w:t>
            </w:r>
          </w:p>
          <w:p w14:paraId="5C53BD84" w14:textId="77777777" w:rsidR="007F6FC2" w:rsidRDefault="007F6FC2" w:rsidP="004833A6">
            <w:pPr>
              <w:jc w:val="center"/>
            </w:pPr>
            <w:r>
              <w:t>(2021)</w:t>
            </w:r>
          </w:p>
        </w:tc>
        <w:tc>
          <w:tcPr>
            <w:tcW w:w="372" w:type="pct"/>
            <w:gridSpan w:val="2"/>
            <w:shd w:val="clear" w:color="auto" w:fill="auto"/>
            <w:vAlign w:val="center"/>
          </w:tcPr>
          <w:p w14:paraId="139A46E6" w14:textId="77777777" w:rsidR="007F6FC2" w:rsidRDefault="007F6FC2" w:rsidP="004833A6">
            <w:pPr>
              <w:jc w:val="center"/>
            </w:pPr>
            <w:r>
              <w:t>21</w:t>
            </w:r>
          </w:p>
          <w:p w14:paraId="209EA625" w14:textId="77777777" w:rsidR="007F6FC2" w:rsidRDefault="007F6FC2" w:rsidP="004833A6">
            <w:pPr>
              <w:jc w:val="center"/>
            </w:pPr>
            <w:r>
              <w:t>(2021)</w:t>
            </w:r>
          </w:p>
        </w:tc>
        <w:tc>
          <w:tcPr>
            <w:tcW w:w="454" w:type="pct"/>
            <w:shd w:val="clear" w:color="auto" w:fill="auto"/>
            <w:vAlign w:val="center"/>
          </w:tcPr>
          <w:p w14:paraId="0158A2F3" w14:textId="77777777" w:rsidR="007F6FC2" w:rsidRDefault="007F6FC2" w:rsidP="004833A6">
            <w:pPr>
              <w:jc w:val="center"/>
            </w:pPr>
            <w:r>
              <w:t>4.614</w:t>
            </w:r>
          </w:p>
          <w:p w14:paraId="406FFF05" w14:textId="77777777" w:rsidR="007F6FC2" w:rsidRDefault="007F6FC2" w:rsidP="004833A6">
            <w:pPr>
              <w:jc w:val="center"/>
            </w:pPr>
            <w:r>
              <w:t>(2021)</w:t>
            </w:r>
          </w:p>
        </w:tc>
      </w:tr>
      <w:tr w:rsidR="007F6FC2" w:rsidRPr="00B92995" w14:paraId="7E33839A" w14:textId="77777777" w:rsidTr="00CC5A4A">
        <w:trPr>
          <w:trHeight w:val="227"/>
          <w:jc w:val="center"/>
        </w:trPr>
        <w:tc>
          <w:tcPr>
            <w:tcW w:w="248" w:type="pct"/>
            <w:vAlign w:val="center"/>
          </w:tcPr>
          <w:p w14:paraId="7E54BB44" w14:textId="77777777" w:rsidR="007F6FC2" w:rsidRPr="0073032D" w:rsidRDefault="007F6FC2" w:rsidP="003C68DE">
            <w:pPr>
              <w:jc w:val="center"/>
            </w:pPr>
            <w:r>
              <w:t>6</w:t>
            </w:r>
            <w:r w:rsidRPr="0073032D">
              <w:t>.</w:t>
            </w:r>
          </w:p>
        </w:tc>
        <w:tc>
          <w:tcPr>
            <w:tcW w:w="3389" w:type="pct"/>
            <w:gridSpan w:val="6"/>
            <w:shd w:val="clear" w:color="auto" w:fill="auto"/>
            <w:vAlign w:val="center"/>
          </w:tcPr>
          <w:p w14:paraId="13A10A41" w14:textId="77777777" w:rsidR="007F6FC2" w:rsidRPr="0073032D" w:rsidRDefault="007F6FC2" w:rsidP="00CC5A4A">
            <w:pPr>
              <w:pStyle w:val="Heading1"/>
              <w:spacing w:before="0" w:after="0"/>
              <w:jc w:val="both"/>
              <w:rPr>
                <w:rFonts w:ascii="Times New Roman" w:hAnsi="Times New Roman" w:cs="Times New Roman"/>
                <w:b w:val="0"/>
                <w:sz w:val="20"/>
                <w:szCs w:val="20"/>
              </w:rPr>
            </w:pPr>
            <w:r w:rsidRPr="0073032D">
              <w:rPr>
                <w:rFonts w:ascii="Times New Roman" w:hAnsi="Times New Roman" w:cs="Times New Roman"/>
                <w:b w:val="0"/>
                <w:sz w:val="20"/>
                <w:szCs w:val="20"/>
              </w:rPr>
              <w:t xml:space="preserve">Jovičić Bata J, Grujičić M, </w:t>
            </w:r>
            <w:r w:rsidRPr="0073032D">
              <w:rPr>
                <w:rFonts w:ascii="Times New Roman" w:hAnsi="Times New Roman" w:cs="Times New Roman"/>
                <w:sz w:val="20"/>
                <w:szCs w:val="20"/>
              </w:rPr>
              <w:t>Novaković B</w:t>
            </w:r>
            <w:r w:rsidRPr="0073032D">
              <w:rPr>
                <w:rFonts w:ascii="Times New Roman" w:hAnsi="Times New Roman" w:cs="Times New Roman"/>
                <w:b w:val="0"/>
                <w:sz w:val="20"/>
                <w:szCs w:val="20"/>
              </w:rPr>
              <w:t xml:space="preserve">, Čović B. </w:t>
            </w:r>
            <w:hyperlink r:id="rId7" w:history="1">
              <w:r w:rsidRPr="0073032D">
                <w:rPr>
                  <w:rStyle w:val="Hyperlink"/>
                  <w:rFonts w:ascii="Times New Roman" w:hAnsi="Times New Roman" w:cs="Times New Roman"/>
                  <w:b w:val="0"/>
                  <w:sz w:val="20"/>
                  <w:szCs w:val="20"/>
                </w:rPr>
                <w:t>Epidemiology of dietary supplement use in Serbia: report from Novi Sad</w:t>
              </w:r>
            </w:hyperlink>
            <w:r w:rsidRPr="0073032D">
              <w:rPr>
                <w:rFonts w:ascii="Times New Roman" w:hAnsi="Times New Roman" w:cs="Times New Roman"/>
                <w:b w:val="0"/>
                <w:sz w:val="20"/>
                <w:szCs w:val="20"/>
              </w:rPr>
              <w:t xml:space="preserve">. </w:t>
            </w:r>
            <w:r w:rsidRPr="0073032D">
              <w:rPr>
                <w:rStyle w:val="jrnl"/>
                <w:rFonts w:ascii="Times New Roman" w:hAnsi="Times New Roman" w:cs="Times New Roman"/>
                <w:b w:val="0"/>
                <w:sz w:val="20"/>
                <w:szCs w:val="20"/>
              </w:rPr>
              <w:t>Complement Ther Med. 2019;47.</w:t>
            </w:r>
          </w:p>
        </w:tc>
        <w:tc>
          <w:tcPr>
            <w:tcW w:w="537" w:type="pct"/>
            <w:gridSpan w:val="2"/>
            <w:shd w:val="clear" w:color="auto" w:fill="auto"/>
            <w:vAlign w:val="center"/>
          </w:tcPr>
          <w:p w14:paraId="24131E7B" w14:textId="77777777" w:rsidR="007F6FC2" w:rsidRPr="0073032D" w:rsidRDefault="007F6FC2" w:rsidP="00CC5A4A">
            <w:pPr>
              <w:jc w:val="center"/>
            </w:pPr>
          </w:p>
          <w:p w14:paraId="0C851760" w14:textId="77777777" w:rsidR="007F6FC2" w:rsidRPr="0073032D" w:rsidRDefault="007F6FC2" w:rsidP="00CC5A4A">
            <w:pPr>
              <w:jc w:val="center"/>
            </w:pPr>
            <w:r w:rsidRPr="0073032D">
              <w:t>14/28</w:t>
            </w:r>
          </w:p>
          <w:p w14:paraId="68DE6450" w14:textId="77777777" w:rsidR="007F6FC2" w:rsidRPr="0073032D" w:rsidRDefault="007F6FC2" w:rsidP="00CC5A4A">
            <w:pPr>
              <w:jc w:val="center"/>
            </w:pPr>
          </w:p>
        </w:tc>
        <w:tc>
          <w:tcPr>
            <w:tcW w:w="372" w:type="pct"/>
            <w:gridSpan w:val="2"/>
            <w:shd w:val="clear" w:color="auto" w:fill="auto"/>
            <w:vAlign w:val="center"/>
          </w:tcPr>
          <w:p w14:paraId="36BB31DF" w14:textId="77777777" w:rsidR="007F6FC2" w:rsidRPr="0073032D" w:rsidRDefault="007F6FC2" w:rsidP="00CC5A4A">
            <w:pPr>
              <w:jc w:val="center"/>
            </w:pPr>
          </w:p>
          <w:p w14:paraId="46750590" w14:textId="77777777" w:rsidR="007F6FC2" w:rsidRPr="0073032D" w:rsidRDefault="007F6FC2" w:rsidP="00CC5A4A">
            <w:pPr>
              <w:jc w:val="center"/>
            </w:pPr>
            <w:r w:rsidRPr="0073032D">
              <w:t>22</w:t>
            </w:r>
          </w:p>
          <w:p w14:paraId="12633F14" w14:textId="77777777" w:rsidR="007F6FC2" w:rsidRPr="0073032D" w:rsidRDefault="007F6FC2" w:rsidP="00CC5A4A">
            <w:pPr>
              <w:jc w:val="center"/>
            </w:pPr>
          </w:p>
        </w:tc>
        <w:tc>
          <w:tcPr>
            <w:tcW w:w="454" w:type="pct"/>
            <w:shd w:val="clear" w:color="auto" w:fill="auto"/>
            <w:vAlign w:val="center"/>
          </w:tcPr>
          <w:p w14:paraId="0477ACF9" w14:textId="77777777" w:rsidR="007F6FC2" w:rsidRPr="0073032D" w:rsidRDefault="007F6FC2" w:rsidP="00CC5A4A">
            <w:pPr>
              <w:jc w:val="center"/>
            </w:pPr>
            <w:r w:rsidRPr="0073032D">
              <w:lastRenderedPageBreak/>
              <w:t>2.063</w:t>
            </w:r>
          </w:p>
        </w:tc>
      </w:tr>
      <w:tr w:rsidR="007F6FC2" w:rsidRPr="00B92995" w14:paraId="57915586" w14:textId="77777777" w:rsidTr="00CC5A4A">
        <w:trPr>
          <w:trHeight w:val="227"/>
          <w:jc w:val="center"/>
        </w:trPr>
        <w:tc>
          <w:tcPr>
            <w:tcW w:w="248" w:type="pct"/>
            <w:vAlign w:val="center"/>
          </w:tcPr>
          <w:p w14:paraId="194C9F29" w14:textId="77777777" w:rsidR="007F6FC2" w:rsidRPr="0073032D" w:rsidRDefault="007F6FC2" w:rsidP="003C68DE">
            <w:pPr>
              <w:jc w:val="center"/>
            </w:pPr>
            <w:r>
              <w:t>7</w:t>
            </w:r>
            <w:r w:rsidRPr="0073032D">
              <w:t>.</w:t>
            </w:r>
          </w:p>
        </w:tc>
        <w:tc>
          <w:tcPr>
            <w:tcW w:w="3389" w:type="pct"/>
            <w:gridSpan w:val="6"/>
            <w:shd w:val="clear" w:color="auto" w:fill="auto"/>
            <w:vAlign w:val="center"/>
          </w:tcPr>
          <w:p w14:paraId="2B82B73F" w14:textId="77777777" w:rsidR="007F6FC2" w:rsidRPr="0073032D" w:rsidRDefault="007F6FC2" w:rsidP="00CC5A4A">
            <w:pPr>
              <w:pStyle w:val="Heading1"/>
              <w:spacing w:before="0"/>
              <w:jc w:val="both"/>
              <w:rPr>
                <w:rFonts w:ascii="Times New Roman" w:hAnsi="Times New Roman" w:cs="Times New Roman"/>
                <w:sz w:val="20"/>
                <w:szCs w:val="20"/>
              </w:rPr>
            </w:pPr>
            <w:r w:rsidRPr="0073032D">
              <w:rPr>
                <w:rFonts w:ascii="Times New Roman" w:hAnsi="Times New Roman" w:cs="Times New Roman"/>
                <w:b w:val="0"/>
                <w:sz w:val="20"/>
                <w:szCs w:val="20"/>
              </w:rPr>
              <w:t xml:space="preserve">Rakic S, Novakovic B, Stevic S, Nisakanovic J. </w:t>
            </w:r>
            <w:hyperlink r:id="rId8" w:history="1">
              <w:r w:rsidRPr="0073032D">
                <w:rPr>
                  <w:rStyle w:val="Hyperlink"/>
                  <w:rFonts w:ascii="Times New Roman" w:hAnsi="Times New Roman" w:cs="Times New Roman"/>
                  <w:b w:val="0"/>
                  <w:sz w:val="20"/>
                  <w:szCs w:val="20"/>
                </w:rPr>
                <w:t>Introduction of safety and quality standards for private health care providers: a case-study from the Republic of Srpska, Bosnia and Herzegovina.</w:t>
              </w:r>
            </w:hyperlink>
            <w:r w:rsidRPr="0073032D">
              <w:rPr>
                <w:rFonts w:ascii="Times New Roman" w:hAnsi="Times New Roman" w:cs="Times New Roman"/>
                <w:b w:val="0"/>
                <w:sz w:val="20"/>
                <w:szCs w:val="20"/>
              </w:rPr>
              <w:t xml:space="preserve"> </w:t>
            </w:r>
            <w:r w:rsidRPr="00053CA3">
              <w:rPr>
                <w:rStyle w:val="medium-bold"/>
                <w:rFonts w:ascii="Times New Roman" w:hAnsi="Times New Roman" w:cs="Times New Roman"/>
                <w:b w:val="0"/>
                <w:sz w:val="20"/>
                <w:szCs w:val="20"/>
              </w:rPr>
              <w:t xml:space="preserve">Int J Equity Health. </w:t>
            </w:r>
            <w:proofErr w:type="gramStart"/>
            <w:r w:rsidRPr="00053CA3">
              <w:rPr>
                <w:rStyle w:val="medium-bold"/>
                <w:rFonts w:ascii="Times New Roman" w:hAnsi="Times New Roman" w:cs="Times New Roman"/>
                <w:b w:val="0"/>
                <w:sz w:val="20"/>
                <w:szCs w:val="20"/>
              </w:rPr>
              <w:t>2018;17:92</w:t>
            </w:r>
            <w:proofErr w:type="gramEnd"/>
            <w:r w:rsidRPr="00053CA3">
              <w:rPr>
                <w:rStyle w:val="medium-bold"/>
                <w:rFonts w:ascii="Times New Roman" w:hAnsi="Times New Roman" w:cs="Times New Roman"/>
                <w:b w:val="0"/>
                <w:sz w:val="20"/>
                <w:szCs w:val="20"/>
              </w:rPr>
              <w:t>.</w:t>
            </w:r>
          </w:p>
        </w:tc>
        <w:tc>
          <w:tcPr>
            <w:tcW w:w="537" w:type="pct"/>
            <w:gridSpan w:val="2"/>
            <w:shd w:val="clear" w:color="auto" w:fill="auto"/>
            <w:vAlign w:val="center"/>
          </w:tcPr>
          <w:p w14:paraId="50BCAD13" w14:textId="77777777" w:rsidR="007F6FC2" w:rsidRPr="0073032D" w:rsidRDefault="007F6FC2" w:rsidP="00CC5A4A">
            <w:pPr>
              <w:jc w:val="center"/>
            </w:pPr>
            <w:r w:rsidRPr="0073032D">
              <w:t>80/274</w:t>
            </w:r>
          </w:p>
        </w:tc>
        <w:tc>
          <w:tcPr>
            <w:tcW w:w="372" w:type="pct"/>
            <w:gridSpan w:val="2"/>
            <w:shd w:val="clear" w:color="auto" w:fill="auto"/>
            <w:vAlign w:val="center"/>
          </w:tcPr>
          <w:p w14:paraId="71488CCA" w14:textId="77777777" w:rsidR="007F6FC2" w:rsidRPr="0073032D" w:rsidRDefault="007F6FC2" w:rsidP="00CC5A4A">
            <w:pPr>
              <w:jc w:val="center"/>
            </w:pPr>
            <w:r w:rsidRPr="0073032D">
              <w:t>21</w:t>
            </w:r>
          </w:p>
        </w:tc>
        <w:tc>
          <w:tcPr>
            <w:tcW w:w="454" w:type="pct"/>
            <w:shd w:val="clear" w:color="auto" w:fill="auto"/>
            <w:vAlign w:val="center"/>
          </w:tcPr>
          <w:p w14:paraId="074E07E3" w14:textId="77777777" w:rsidR="007F6FC2" w:rsidRPr="0073032D" w:rsidRDefault="007F6FC2" w:rsidP="00CC5A4A">
            <w:pPr>
              <w:jc w:val="center"/>
            </w:pPr>
            <w:r w:rsidRPr="0073032D">
              <w:t>2.473</w:t>
            </w:r>
          </w:p>
        </w:tc>
      </w:tr>
      <w:tr w:rsidR="007F6FC2" w:rsidRPr="00B92995" w14:paraId="5201D84A" w14:textId="77777777" w:rsidTr="00CC5A4A">
        <w:trPr>
          <w:trHeight w:val="227"/>
          <w:jc w:val="center"/>
        </w:trPr>
        <w:tc>
          <w:tcPr>
            <w:tcW w:w="248" w:type="pct"/>
            <w:vAlign w:val="center"/>
          </w:tcPr>
          <w:p w14:paraId="7D8AC925" w14:textId="77777777" w:rsidR="007F6FC2" w:rsidRPr="0073032D" w:rsidRDefault="007F6FC2" w:rsidP="003C68DE">
            <w:pPr>
              <w:jc w:val="center"/>
            </w:pPr>
            <w:r>
              <w:t>8</w:t>
            </w:r>
            <w:r w:rsidRPr="0073032D">
              <w:t>.</w:t>
            </w:r>
          </w:p>
        </w:tc>
        <w:tc>
          <w:tcPr>
            <w:tcW w:w="3389" w:type="pct"/>
            <w:gridSpan w:val="6"/>
            <w:shd w:val="clear" w:color="auto" w:fill="auto"/>
            <w:vAlign w:val="center"/>
          </w:tcPr>
          <w:p w14:paraId="50539DFB" w14:textId="77777777" w:rsidR="007F6FC2" w:rsidRPr="0073032D" w:rsidRDefault="007F6FC2" w:rsidP="00CC5A4A">
            <w:pPr>
              <w:jc w:val="both"/>
            </w:pPr>
            <w:r w:rsidRPr="0073032D">
              <w:rPr>
                <w:bCs/>
                <w:spacing w:val="-1"/>
                <w:w w:val="102"/>
              </w:rPr>
              <w:t xml:space="preserve">Grujičić M, Jovičić Bata J, </w:t>
            </w:r>
            <w:r w:rsidRPr="0073032D">
              <w:rPr>
                <w:b/>
                <w:bCs/>
                <w:spacing w:val="-1"/>
                <w:w w:val="102"/>
              </w:rPr>
              <w:t>Novaković B</w:t>
            </w:r>
            <w:r w:rsidRPr="0073032D">
              <w:rPr>
                <w:bCs/>
                <w:spacing w:val="-1"/>
                <w:w w:val="102"/>
              </w:rPr>
              <w:t xml:space="preserve">. </w:t>
            </w:r>
            <w:hyperlink r:id="rId9" w:history="1">
              <w:r w:rsidRPr="0073032D">
                <w:rPr>
                  <w:rStyle w:val="Hyperlink"/>
                  <w:bCs/>
                  <w:spacing w:val="-1"/>
                  <w:w w:val="102"/>
                </w:rPr>
                <w:t>Work motivation and job satisfaction of doctors and nurses in the Vojvodina, Serbia</w:t>
              </w:r>
            </w:hyperlink>
            <w:r w:rsidRPr="0073032D">
              <w:rPr>
                <w:bCs/>
                <w:spacing w:val="-1"/>
                <w:w w:val="102"/>
              </w:rPr>
              <w:t>. Srp Arh Celok Lek. 2018;146(1-2):48-54.</w:t>
            </w:r>
          </w:p>
        </w:tc>
        <w:tc>
          <w:tcPr>
            <w:tcW w:w="537" w:type="pct"/>
            <w:gridSpan w:val="2"/>
            <w:shd w:val="clear" w:color="auto" w:fill="auto"/>
            <w:vAlign w:val="center"/>
          </w:tcPr>
          <w:p w14:paraId="32E084AB" w14:textId="77777777" w:rsidR="007F6FC2" w:rsidRPr="0073032D" w:rsidRDefault="007F6FC2" w:rsidP="00CC5A4A">
            <w:pPr>
              <w:jc w:val="center"/>
            </w:pPr>
            <w:r w:rsidRPr="0073032D">
              <w:t>152/160</w:t>
            </w:r>
          </w:p>
        </w:tc>
        <w:tc>
          <w:tcPr>
            <w:tcW w:w="372" w:type="pct"/>
            <w:gridSpan w:val="2"/>
            <w:shd w:val="clear" w:color="auto" w:fill="auto"/>
            <w:vAlign w:val="center"/>
          </w:tcPr>
          <w:p w14:paraId="6A4E6FD5" w14:textId="77777777" w:rsidR="007F6FC2" w:rsidRPr="0073032D" w:rsidRDefault="007F6FC2" w:rsidP="00CC5A4A">
            <w:pPr>
              <w:jc w:val="center"/>
            </w:pPr>
            <w:r w:rsidRPr="0073032D">
              <w:t>23</w:t>
            </w:r>
          </w:p>
        </w:tc>
        <w:tc>
          <w:tcPr>
            <w:tcW w:w="454" w:type="pct"/>
            <w:shd w:val="clear" w:color="auto" w:fill="auto"/>
            <w:vAlign w:val="center"/>
          </w:tcPr>
          <w:p w14:paraId="5E2524CE" w14:textId="77777777" w:rsidR="007F6FC2" w:rsidRPr="0073032D" w:rsidRDefault="007F6FC2" w:rsidP="00CC5A4A">
            <w:pPr>
              <w:jc w:val="center"/>
            </w:pPr>
            <w:r w:rsidRPr="0073032D">
              <w:t>0.299</w:t>
            </w:r>
          </w:p>
        </w:tc>
      </w:tr>
      <w:tr w:rsidR="007F6FC2" w:rsidRPr="00B92995" w14:paraId="2C648052" w14:textId="77777777" w:rsidTr="00CC5A4A">
        <w:trPr>
          <w:trHeight w:val="227"/>
          <w:jc w:val="center"/>
        </w:trPr>
        <w:tc>
          <w:tcPr>
            <w:tcW w:w="248" w:type="pct"/>
            <w:vAlign w:val="center"/>
          </w:tcPr>
          <w:p w14:paraId="2BD3667A" w14:textId="77777777" w:rsidR="007F6FC2" w:rsidRPr="0073032D" w:rsidRDefault="007F6FC2" w:rsidP="003C68DE">
            <w:pPr>
              <w:jc w:val="center"/>
            </w:pPr>
            <w:r>
              <w:t>9</w:t>
            </w:r>
            <w:r w:rsidRPr="0073032D">
              <w:t>.</w:t>
            </w:r>
          </w:p>
        </w:tc>
        <w:tc>
          <w:tcPr>
            <w:tcW w:w="3389" w:type="pct"/>
            <w:gridSpan w:val="6"/>
            <w:shd w:val="clear" w:color="auto" w:fill="auto"/>
            <w:vAlign w:val="center"/>
          </w:tcPr>
          <w:p w14:paraId="680F16C2" w14:textId="77777777" w:rsidR="007F6FC2" w:rsidRPr="0073032D" w:rsidRDefault="007F6FC2" w:rsidP="00CC5A4A">
            <w:pPr>
              <w:jc w:val="both"/>
              <w:rPr>
                <w:bCs/>
                <w:spacing w:val="-1"/>
                <w:w w:val="102"/>
              </w:rPr>
            </w:pPr>
            <w:r w:rsidRPr="0073032D">
              <w:rPr>
                <w:bCs/>
                <w:spacing w:val="-1"/>
                <w:w w:val="102"/>
              </w:rPr>
              <w:t xml:space="preserve">Rudić-Grujić V, Grabež M, Stojisavljević S, </w:t>
            </w:r>
            <w:r w:rsidRPr="0073032D">
              <w:rPr>
                <w:b/>
                <w:bCs/>
                <w:spacing w:val="-1"/>
                <w:w w:val="102"/>
              </w:rPr>
              <w:t>Novaković B</w:t>
            </w:r>
            <w:r w:rsidRPr="0073032D">
              <w:rPr>
                <w:bCs/>
                <w:spacing w:val="-1"/>
                <w:w w:val="102"/>
              </w:rPr>
              <w:t xml:space="preserve">, Popović-Pejičić S. </w:t>
            </w:r>
            <w:hyperlink r:id="rId10" w:history="1">
              <w:r w:rsidRPr="0073032D">
                <w:rPr>
                  <w:rStyle w:val="Hyperlink"/>
                  <w:bCs/>
                  <w:spacing w:val="-1"/>
                  <w:w w:val="102"/>
                </w:rPr>
                <w:t>Prepregnancy Body mass index and the risk of gestational diabetes mellitus</w:t>
              </w:r>
            </w:hyperlink>
            <w:r w:rsidRPr="0073032D">
              <w:rPr>
                <w:bCs/>
                <w:spacing w:val="-1"/>
                <w:w w:val="102"/>
              </w:rPr>
              <w:t>. Srp Arh Celok Lek. 2017;145(5-6):275-9.</w:t>
            </w:r>
          </w:p>
        </w:tc>
        <w:tc>
          <w:tcPr>
            <w:tcW w:w="537" w:type="pct"/>
            <w:gridSpan w:val="2"/>
            <w:shd w:val="clear" w:color="auto" w:fill="auto"/>
            <w:vAlign w:val="center"/>
          </w:tcPr>
          <w:p w14:paraId="25E8F269" w14:textId="77777777" w:rsidR="007F6FC2" w:rsidRPr="0073032D" w:rsidRDefault="007F6FC2" w:rsidP="00CC5A4A">
            <w:pPr>
              <w:jc w:val="center"/>
            </w:pPr>
            <w:r w:rsidRPr="0073032D">
              <w:t>149/154</w:t>
            </w:r>
          </w:p>
          <w:p w14:paraId="74A86921" w14:textId="77777777" w:rsidR="007F6FC2" w:rsidRPr="0073032D" w:rsidRDefault="007F6FC2" w:rsidP="00CC5A4A">
            <w:pPr>
              <w:jc w:val="center"/>
            </w:pPr>
          </w:p>
        </w:tc>
        <w:tc>
          <w:tcPr>
            <w:tcW w:w="372" w:type="pct"/>
            <w:gridSpan w:val="2"/>
            <w:shd w:val="clear" w:color="auto" w:fill="auto"/>
            <w:vAlign w:val="center"/>
          </w:tcPr>
          <w:p w14:paraId="7BD5FFA9" w14:textId="77777777" w:rsidR="007F6FC2" w:rsidRPr="0073032D" w:rsidRDefault="007F6FC2" w:rsidP="00CC5A4A">
            <w:pPr>
              <w:jc w:val="center"/>
            </w:pPr>
          </w:p>
          <w:p w14:paraId="5BBDED28" w14:textId="77777777" w:rsidR="007F6FC2" w:rsidRPr="0073032D" w:rsidRDefault="007F6FC2" w:rsidP="00CC5A4A">
            <w:pPr>
              <w:jc w:val="center"/>
            </w:pPr>
            <w:r w:rsidRPr="0073032D">
              <w:t>23</w:t>
            </w:r>
          </w:p>
          <w:p w14:paraId="203FEDA0" w14:textId="77777777" w:rsidR="007F6FC2" w:rsidRPr="0073032D" w:rsidRDefault="007F6FC2" w:rsidP="00CC5A4A">
            <w:pPr>
              <w:jc w:val="center"/>
            </w:pPr>
          </w:p>
        </w:tc>
        <w:tc>
          <w:tcPr>
            <w:tcW w:w="454" w:type="pct"/>
            <w:shd w:val="clear" w:color="auto" w:fill="auto"/>
            <w:vAlign w:val="center"/>
          </w:tcPr>
          <w:p w14:paraId="4F8BE1A6" w14:textId="77777777" w:rsidR="007F6FC2" w:rsidRPr="0073032D" w:rsidRDefault="007F6FC2" w:rsidP="00CC5A4A">
            <w:pPr>
              <w:jc w:val="center"/>
            </w:pPr>
            <w:r w:rsidRPr="0073032D">
              <w:t>0.300</w:t>
            </w:r>
          </w:p>
          <w:p w14:paraId="445C84EE" w14:textId="77777777" w:rsidR="007F6FC2" w:rsidRPr="0073032D" w:rsidRDefault="007F6FC2" w:rsidP="00CC5A4A">
            <w:pPr>
              <w:jc w:val="center"/>
            </w:pPr>
          </w:p>
        </w:tc>
      </w:tr>
      <w:tr w:rsidR="007F6FC2" w:rsidRPr="00B92995" w14:paraId="619ADB1B" w14:textId="77777777" w:rsidTr="00CC5A4A">
        <w:trPr>
          <w:trHeight w:val="227"/>
          <w:jc w:val="center"/>
        </w:trPr>
        <w:tc>
          <w:tcPr>
            <w:tcW w:w="248" w:type="pct"/>
            <w:vAlign w:val="center"/>
          </w:tcPr>
          <w:p w14:paraId="269B85CF" w14:textId="77777777" w:rsidR="007F6FC2" w:rsidRPr="00D80A8D" w:rsidRDefault="007F6FC2" w:rsidP="003C68DE">
            <w:pPr>
              <w:jc w:val="center"/>
            </w:pPr>
            <w:r>
              <w:t>10.</w:t>
            </w:r>
          </w:p>
        </w:tc>
        <w:tc>
          <w:tcPr>
            <w:tcW w:w="3389" w:type="pct"/>
            <w:gridSpan w:val="6"/>
            <w:shd w:val="clear" w:color="auto" w:fill="auto"/>
            <w:vAlign w:val="center"/>
          </w:tcPr>
          <w:p w14:paraId="37691CA2" w14:textId="77777777" w:rsidR="007F6FC2" w:rsidRPr="0073032D" w:rsidRDefault="007F6FC2" w:rsidP="00CC5A4A">
            <w:pPr>
              <w:jc w:val="both"/>
              <w:rPr>
                <w:bCs/>
                <w:spacing w:val="-1"/>
                <w:w w:val="102"/>
              </w:rPr>
            </w:pPr>
            <w:r w:rsidRPr="0073032D">
              <w:rPr>
                <w:bCs/>
                <w:spacing w:val="-1"/>
                <w:w w:val="102"/>
              </w:rPr>
              <w:t xml:space="preserve">Grujičić M, Jovičić Bata J, Radjen S, </w:t>
            </w:r>
            <w:r w:rsidRPr="0073032D">
              <w:rPr>
                <w:b/>
                <w:bCs/>
                <w:spacing w:val="-1"/>
                <w:w w:val="102"/>
              </w:rPr>
              <w:t>Novaković B,</w:t>
            </w:r>
            <w:r w:rsidRPr="0073032D">
              <w:rPr>
                <w:bCs/>
                <w:spacing w:val="-1"/>
                <w:w w:val="102"/>
              </w:rPr>
              <w:t xml:space="preserve"> Šipetić Grujičić S. </w:t>
            </w:r>
            <w:hyperlink r:id="rId11" w:history="1">
              <w:r w:rsidRPr="0073032D">
                <w:rPr>
                  <w:rStyle w:val="Hyperlink"/>
                  <w:bCs/>
                  <w:spacing w:val="-1"/>
                  <w:w w:val="102"/>
                </w:rPr>
                <w:t>Work motivation and job satisfaction of health workers in urban and rural areas</w:t>
              </w:r>
            </w:hyperlink>
            <w:r w:rsidRPr="0073032D">
              <w:rPr>
                <w:bCs/>
                <w:spacing w:val="-1"/>
                <w:w w:val="102"/>
              </w:rPr>
              <w:t>. Vojnosanit Pregl. 2016;73(8):735-43.</w:t>
            </w:r>
          </w:p>
        </w:tc>
        <w:tc>
          <w:tcPr>
            <w:tcW w:w="537" w:type="pct"/>
            <w:gridSpan w:val="2"/>
            <w:shd w:val="clear" w:color="auto" w:fill="auto"/>
            <w:vAlign w:val="center"/>
          </w:tcPr>
          <w:p w14:paraId="567C42CD" w14:textId="77777777" w:rsidR="007F6FC2" w:rsidRPr="0073032D" w:rsidRDefault="007F6FC2" w:rsidP="00CC5A4A">
            <w:pPr>
              <w:jc w:val="center"/>
            </w:pPr>
            <w:r w:rsidRPr="0073032D">
              <w:t>139/154</w:t>
            </w:r>
          </w:p>
          <w:p w14:paraId="781B850A" w14:textId="77777777" w:rsidR="007F6FC2" w:rsidRPr="0073032D" w:rsidRDefault="007F6FC2" w:rsidP="00CC5A4A">
            <w:pPr>
              <w:jc w:val="center"/>
            </w:pPr>
          </w:p>
        </w:tc>
        <w:tc>
          <w:tcPr>
            <w:tcW w:w="372" w:type="pct"/>
            <w:gridSpan w:val="2"/>
            <w:shd w:val="clear" w:color="auto" w:fill="auto"/>
            <w:vAlign w:val="center"/>
          </w:tcPr>
          <w:p w14:paraId="52CBD747" w14:textId="77777777" w:rsidR="007F6FC2" w:rsidRPr="0073032D" w:rsidRDefault="007F6FC2" w:rsidP="00CC5A4A">
            <w:pPr>
              <w:jc w:val="center"/>
            </w:pPr>
            <w:r w:rsidRPr="0073032D">
              <w:t>23</w:t>
            </w:r>
          </w:p>
          <w:p w14:paraId="710EA85D" w14:textId="77777777" w:rsidR="007F6FC2" w:rsidRPr="0073032D" w:rsidRDefault="007F6FC2" w:rsidP="00CC5A4A">
            <w:pPr>
              <w:jc w:val="center"/>
            </w:pPr>
          </w:p>
        </w:tc>
        <w:tc>
          <w:tcPr>
            <w:tcW w:w="454" w:type="pct"/>
            <w:shd w:val="clear" w:color="auto" w:fill="auto"/>
            <w:vAlign w:val="center"/>
          </w:tcPr>
          <w:p w14:paraId="5A5DF55D" w14:textId="77777777" w:rsidR="007F6FC2" w:rsidRPr="0073032D" w:rsidRDefault="007F6FC2" w:rsidP="00CC5A4A">
            <w:pPr>
              <w:jc w:val="center"/>
            </w:pPr>
            <w:r w:rsidRPr="0073032D">
              <w:t>0.367</w:t>
            </w:r>
          </w:p>
        </w:tc>
      </w:tr>
      <w:tr w:rsidR="007F6FC2" w:rsidRPr="00B92995" w14:paraId="0960623A" w14:textId="77777777" w:rsidTr="00CC5A4A">
        <w:trPr>
          <w:trHeight w:val="227"/>
          <w:jc w:val="center"/>
        </w:trPr>
        <w:tc>
          <w:tcPr>
            <w:tcW w:w="248" w:type="pct"/>
            <w:vAlign w:val="center"/>
          </w:tcPr>
          <w:p w14:paraId="0CD49159" w14:textId="77777777" w:rsidR="007F6FC2" w:rsidRPr="00D80A8D" w:rsidRDefault="007F6FC2" w:rsidP="003C68DE">
            <w:pPr>
              <w:jc w:val="center"/>
            </w:pPr>
            <w:r>
              <w:t>11.</w:t>
            </w:r>
          </w:p>
        </w:tc>
        <w:tc>
          <w:tcPr>
            <w:tcW w:w="3389" w:type="pct"/>
            <w:gridSpan w:val="6"/>
            <w:shd w:val="clear" w:color="auto" w:fill="auto"/>
            <w:vAlign w:val="center"/>
          </w:tcPr>
          <w:p w14:paraId="51D8C472" w14:textId="77777777" w:rsidR="007F6FC2" w:rsidRPr="0073032D" w:rsidRDefault="007F6FC2" w:rsidP="00CC5A4A">
            <w:pPr>
              <w:jc w:val="both"/>
              <w:rPr>
                <w:bCs/>
                <w:spacing w:val="-1"/>
                <w:w w:val="102"/>
              </w:rPr>
            </w:pPr>
            <w:r w:rsidRPr="0073032D">
              <w:rPr>
                <w:bCs/>
                <w:spacing w:val="-1"/>
                <w:w w:val="102"/>
              </w:rPr>
              <w:t xml:space="preserve">Jovičić-Bata J, </w:t>
            </w:r>
            <w:r w:rsidRPr="00EB2894">
              <w:rPr>
                <w:bCs/>
                <w:spacing w:val="-1"/>
                <w:w w:val="102"/>
              </w:rPr>
              <w:t>Grujičić M</w:t>
            </w:r>
            <w:r w:rsidRPr="0073032D">
              <w:rPr>
                <w:bCs/>
                <w:spacing w:val="-1"/>
                <w:w w:val="102"/>
              </w:rPr>
              <w:t xml:space="preserve">, Rađen S, </w:t>
            </w:r>
            <w:r w:rsidRPr="00EB2894">
              <w:rPr>
                <w:b/>
                <w:bCs/>
                <w:spacing w:val="-1"/>
                <w:w w:val="102"/>
              </w:rPr>
              <w:t>Novaković B</w:t>
            </w:r>
            <w:r w:rsidRPr="0073032D">
              <w:rPr>
                <w:bCs/>
                <w:spacing w:val="-1"/>
                <w:w w:val="102"/>
              </w:rPr>
              <w:t xml:space="preserve">. </w:t>
            </w:r>
            <w:hyperlink r:id="rId12" w:history="1">
              <w:r w:rsidRPr="0073032D">
                <w:rPr>
                  <w:rStyle w:val="Hyperlink"/>
                  <w:bCs/>
                  <w:spacing w:val="-1"/>
                  <w:w w:val="102"/>
                </w:rPr>
                <w:t>Sodium intake and dietary sources of sodium in a sample of undergraduate students from Novi Sad, Serbia</w:t>
              </w:r>
            </w:hyperlink>
            <w:r w:rsidRPr="0073032D">
              <w:rPr>
                <w:bCs/>
                <w:spacing w:val="-1"/>
                <w:w w:val="102"/>
              </w:rPr>
              <w:t>. Vojnosanit Pregl. 2016;73(7):651-6.</w:t>
            </w:r>
          </w:p>
        </w:tc>
        <w:tc>
          <w:tcPr>
            <w:tcW w:w="537" w:type="pct"/>
            <w:gridSpan w:val="2"/>
            <w:shd w:val="clear" w:color="auto" w:fill="auto"/>
            <w:vAlign w:val="center"/>
          </w:tcPr>
          <w:p w14:paraId="03F51D56" w14:textId="77777777" w:rsidR="007F6FC2" w:rsidRPr="0073032D" w:rsidRDefault="007F6FC2" w:rsidP="00CC5A4A">
            <w:pPr>
              <w:jc w:val="center"/>
            </w:pPr>
            <w:r w:rsidRPr="0073032D">
              <w:t>139/154</w:t>
            </w:r>
          </w:p>
          <w:p w14:paraId="6D733080" w14:textId="77777777" w:rsidR="007F6FC2" w:rsidRPr="0073032D" w:rsidRDefault="007F6FC2" w:rsidP="00CC5A4A">
            <w:pPr>
              <w:jc w:val="center"/>
            </w:pPr>
          </w:p>
        </w:tc>
        <w:tc>
          <w:tcPr>
            <w:tcW w:w="372" w:type="pct"/>
            <w:gridSpan w:val="2"/>
            <w:shd w:val="clear" w:color="auto" w:fill="auto"/>
            <w:vAlign w:val="center"/>
          </w:tcPr>
          <w:p w14:paraId="77188A8B" w14:textId="77777777" w:rsidR="007F6FC2" w:rsidRPr="0073032D" w:rsidRDefault="007F6FC2" w:rsidP="00CC5A4A">
            <w:pPr>
              <w:jc w:val="center"/>
            </w:pPr>
            <w:r w:rsidRPr="0073032D">
              <w:t>23</w:t>
            </w:r>
          </w:p>
          <w:p w14:paraId="0387F401" w14:textId="77777777" w:rsidR="007F6FC2" w:rsidRPr="0073032D" w:rsidRDefault="007F6FC2" w:rsidP="00CC5A4A">
            <w:pPr>
              <w:jc w:val="center"/>
            </w:pPr>
          </w:p>
        </w:tc>
        <w:tc>
          <w:tcPr>
            <w:tcW w:w="454" w:type="pct"/>
            <w:shd w:val="clear" w:color="auto" w:fill="auto"/>
            <w:vAlign w:val="center"/>
          </w:tcPr>
          <w:p w14:paraId="11A8876F" w14:textId="77777777" w:rsidR="007F6FC2" w:rsidRPr="0073032D" w:rsidRDefault="007F6FC2" w:rsidP="00CC5A4A">
            <w:pPr>
              <w:jc w:val="center"/>
            </w:pPr>
            <w:r w:rsidRPr="0073032D">
              <w:t>0.367</w:t>
            </w:r>
          </w:p>
        </w:tc>
      </w:tr>
      <w:tr w:rsidR="007F6FC2" w:rsidRPr="00B92995" w14:paraId="2DF40EF1" w14:textId="77777777" w:rsidTr="00CC5A4A">
        <w:trPr>
          <w:trHeight w:val="227"/>
          <w:jc w:val="center"/>
        </w:trPr>
        <w:tc>
          <w:tcPr>
            <w:tcW w:w="248" w:type="pct"/>
            <w:vAlign w:val="center"/>
          </w:tcPr>
          <w:p w14:paraId="51A507B0" w14:textId="77777777" w:rsidR="007F6FC2" w:rsidRPr="00D80A8D" w:rsidRDefault="007F6FC2" w:rsidP="003C68DE">
            <w:pPr>
              <w:jc w:val="center"/>
            </w:pPr>
            <w:r>
              <w:t>12.</w:t>
            </w:r>
          </w:p>
        </w:tc>
        <w:tc>
          <w:tcPr>
            <w:tcW w:w="3389" w:type="pct"/>
            <w:gridSpan w:val="6"/>
            <w:shd w:val="clear" w:color="auto" w:fill="auto"/>
            <w:vAlign w:val="center"/>
          </w:tcPr>
          <w:p w14:paraId="4324C2C1" w14:textId="77777777" w:rsidR="007F6FC2" w:rsidRPr="0073032D" w:rsidRDefault="007F6FC2" w:rsidP="00CC5A4A">
            <w:pPr>
              <w:jc w:val="both"/>
              <w:rPr>
                <w:bCs/>
                <w:spacing w:val="-1"/>
                <w:w w:val="102"/>
              </w:rPr>
            </w:pPr>
            <w:r w:rsidRPr="0073032D">
              <w:rPr>
                <w:bCs/>
                <w:spacing w:val="-1"/>
                <w:w w:val="102"/>
              </w:rPr>
              <w:t xml:space="preserve">Šumonja S, </w:t>
            </w:r>
            <w:r w:rsidRPr="0073032D">
              <w:rPr>
                <w:b/>
                <w:bCs/>
                <w:spacing w:val="-1"/>
                <w:w w:val="102"/>
              </w:rPr>
              <w:t>Novaković B</w:t>
            </w:r>
            <w:r w:rsidRPr="0073032D">
              <w:rPr>
                <w:bCs/>
                <w:spacing w:val="-1"/>
                <w:w w:val="102"/>
              </w:rPr>
              <w:t xml:space="preserve">. </w:t>
            </w:r>
            <w:hyperlink r:id="rId13" w:history="1">
              <w:r w:rsidRPr="0073032D">
                <w:rPr>
                  <w:rStyle w:val="Hyperlink"/>
                  <w:bCs/>
                  <w:spacing w:val="-1"/>
                  <w:w w:val="102"/>
                </w:rPr>
                <w:t>Determinants of fruit, vegetable, and dairy consumption in a sample of schoolchildren, Northern Serbia, 2012</w:t>
              </w:r>
            </w:hyperlink>
            <w:r w:rsidRPr="0073032D">
              <w:rPr>
                <w:bCs/>
                <w:spacing w:val="-1"/>
                <w:w w:val="102"/>
              </w:rPr>
              <w:t>. Prev Chronic Dis. 2013;10:1-9. DOI: http://dx.doi.org/10.5888/pcd10.130072</w:t>
            </w:r>
          </w:p>
        </w:tc>
        <w:tc>
          <w:tcPr>
            <w:tcW w:w="537" w:type="pct"/>
            <w:gridSpan w:val="2"/>
            <w:shd w:val="clear" w:color="auto" w:fill="auto"/>
            <w:vAlign w:val="center"/>
          </w:tcPr>
          <w:p w14:paraId="74503B74" w14:textId="77777777" w:rsidR="007F6FC2" w:rsidRPr="0073032D" w:rsidRDefault="007F6FC2" w:rsidP="00CC5A4A">
            <w:pPr>
              <w:jc w:val="center"/>
            </w:pPr>
            <w:r w:rsidRPr="0073032D">
              <w:t>75/243</w:t>
            </w:r>
          </w:p>
        </w:tc>
        <w:tc>
          <w:tcPr>
            <w:tcW w:w="372" w:type="pct"/>
            <w:gridSpan w:val="2"/>
            <w:shd w:val="clear" w:color="auto" w:fill="auto"/>
            <w:vAlign w:val="center"/>
          </w:tcPr>
          <w:p w14:paraId="4505CD12" w14:textId="77777777" w:rsidR="007F6FC2" w:rsidRPr="0073032D" w:rsidRDefault="007F6FC2" w:rsidP="00CC5A4A">
            <w:pPr>
              <w:jc w:val="center"/>
            </w:pPr>
            <w:r w:rsidRPr="0073032D">
              <w:t>22</w:t>
            </w:r>
          </w:p>
        </w:tc>
        <w:tc>
          <w:tcPr>
            <w:tcW w:w="454" w:type="pct"/>
            <w:shd w:val="clear" w:color="auto" w:fill="auto"/>
            <w:vAlign w:val="center"/>
          </w:tcPr>
          <w:p w14:paraId="0A99162A" w14:textId="77777777" w:rsidR="007F6FC2" w:rsidRPr="0073032D" w:rsidRDefault="007F6FC2" w:rsidP="00CC5A4A">
            <w:pPr>
              <w:jc w:val="center"/>
            </w:pPr>
            <w:r w:rsidRPr="0073032D">
              <w:t>1.956</w:t>
            </w:r>
          </w:p>
        </w:tc>
      </w:tr>
      <w:tr w:rsidR="007F6FC2" w:rsidRPr="00B92995" w14:paraId="136DB6E8" w14:textId="77777777" w:rsidTr="00CC5A4A">
        <w:trPr>
          <w:trHeight w:val="227"/>
          <w:jc w:val="center"/>
        </w:trPr>
        <w:tc>
          <w:tcPr>
            <w:tcW w:w="248" w:type="pct"/>
            <w:vAlign w:val="center"/>
          </w:tcPr>
          <w:p w14:paraId="06EE0A8C" w14:textId="77777777" w:rsidR="007F6FC2" w:rsidRPr="00D80A8D" w:rsidRDefault="007F6FC2" w:rsidP="00D1517D">
            <w:pPr>
              <w:jc w:val="center"/>
            </w:pPr>
            <w:r>
              <w:t>13.</w:t>
            </w:r>
          </w:p>
        </w:tc>
        <w:tc>
          <w:tcPr>
            <w:tcW w:w="3389" w:type="pct"/>
            <w:gridSpan w:val="6"/>
            <w:shd w:val="clear" w:color="auto" w:fill="auto"/>
            <w:vAlign w:val="center"/>
          </w:tcPr>
          <w:p w14:paraId="75174BE9" w14:textId="77777777" w:rsidR="007F6FC2" w:rsidRPr="00D80A8D" w:rsidRDefault="007F6FC2" w:rsidP="004833A6">
            <w:pPr>
              <w:jc w:val="both"/>
            </w:pPr>
            <w:r w:rsidRPr="00D80A8D">
              <w:rPr>
                <w:bCs/>
                <w:spacing w:val="-1"/>
                <w:w w:val="102"/>
              </w:rPr>
              <w:t xml:space="preserve">Grujičić M, Šipetić S, Martinov Cvejin M, </w:t>
            </w:r>
            <w:r w:rsidRPr="00D80A8D">
              <w:rPr>
                <w:b/>
                <w:bCs/>
                <w:spacing w:val="-1"/>
                <w:w w:val="102"/>
              </w:rPr>
              <w:t>Novaković B</w:t>
            </w:r>
            <w:r w:rsidRPr="00D80A8D">
              <w:rPr>
                <w:bCs/>
                <w:spacing w:val="-1"/>
                <w:w w:val="102"/>
              </w:rPr>
              <w:t>, Jovičić Bata J. Differences in work motivation and job satisfaction between physicians and nurses. Healthmed. 2012</w:t>
            </w:r>
            <w:r w:rsidRPr="00D80A8D">
              <w:rPr>
                <w:bCs/>
                <w:spacing w:val="-1"/>
                <w:w w:val="102"/>
                <w:lang w:val="en-US"/>
              </w:rPr>
              <w:t>;6(12).</w:t>
            </w:r>
          </w:p>
        </w:tc>
        <w:tc>
          <w:tcPr>
            <w:tcW w:w="537" w:type="pct"/>
            <w:gridSpan w:val="2"/>
            <w:shd w:val="clear" w:color="auto" w:fill="auto"/>
            <w:vAlign w:val="center"/>
          </w:tcPr>
          <w:p w14:paraId="19C82C8C" w14:textId="77777777" w:rsidR="007F6FC2" w:rsidRPr="00D80A8D" w:rsidRDefault="007F6FC2" w:rsidP="004833A6">
            <w:pPr>
              <w:jc w:val="center"/>
            </w:pPr>
            <w:r w:rsidRPr="00D80A8D">
              <w:t>117/155</w:t>
            </w:r>
          </w:p>
          <w:p w14:paraId="2F61B6ED" w14:textId="77777777" w:rsidR="007F6FC2" w:rsidRPr="00D80A8D" w:rsidRDefault="007F6FC2" w:rsidP="004833A6">
            <w:pPr>
              <w:jc w:val="center"/>
            </w:pPr>
            <w:r w:rsidRPr="00D80A8D">
              <w:t>(2011)</w:t>
            </w:r>
          </w:p>
        </w:tc>
        <w:tc>
          <w:tcPr>
            <w:tcW w:w="372" w:type="pct"/>
            <w:gridSpan w:val="2"/>
            <w:shd w:val="clear" w:color="auto" w:fill="auto"/>
            <w:vAlign w:val="center"/>
          </w:tcPr>
          <w:p w14:paraId="52B36130" w14:textId="77777777" w:rsidR="007F6FC2" w:rsidRPr="00D80A8D" w:rsidRDefault="007F6FC2" w:rsidP="004833A6">
            <w:pPr>
              <w:jc w:val="center"/>
            </w:pPr>
            <w:r w:rsidRPr="00D80A8D">
              <w:t>23</w:t>
            </w:r>
          </w:p>
          <w:p w14:paraId="46A44607" w14:textId="77777777" w:rsidR="007F6FC2" w:rsidRPr="00D80A8D" w:rsidRDefault="007F6FC2" w:rsidP="004833A6">
            <w:pPr>
              <w:jc w:val="center"/>
            </w:pPr>
            <w:r w:rsidRPr="00D80A8D">
              <w:t>(2011)</w:t>
            </w:r>
          </w:p>
        </w:tc>
        <w:tc>
          <w:tcPr>
            <w:tcW w:w="454" w:type="pct"/>
            <w:shd w:val="clear" w:color="auto" w:fill="auto"/>
            <w:vAlign w:val="center"/>
          </w:tcPr>
          <w:p w14:paraId="271F6159" w14:textId="77777777" w:rsidR="007F6FC2" w:rsidRPr="00D80A8D" w:rsidRDefault="007F6FC2" w:rsidP="004833A6">
            <w:pPr>
              <w:jc w:val="center"/>
            </w:pPr>
            <w:r w:rsidRPr="00D80A8D">
              <w:t>0.435</w:t>
            </w:r>
          </w:p>
          <w:p w14:paraId="79E64EE6" w14:textId="77777777" w:rsidR="007F6FC2" w:rsidRPr="00D80A8D" w:rsidRDefault="007F6FC2" w:rsidP="004833A6">
            <w:pPr>
              <w:jc w:val="center"/>
            </w:pPr>
            <w:r w:rsidRPr="00D80A8D">
              <w:t>(2011)</w:t>
            </w:r>
          </w:p>
        </w:tc>
      </w:tr>
      <w:tr w:rsidR="007F6FC2" w:rsidRPr="00B92995" w14:paraId="13D2EB49" w14:textId="77777777" w:rsidTr="00CC5A4A">
        <w:trPr>
          <w:trHeight w:val="227"/>
          <w:jc w:val="center"/>
        </w:trPr>
        <w:tc>
          <w:tcPr>
            <w:tcW w:w="5000" w:type="pct"/>
            <w:gridSpan w:val="12"/>
            <w:vAlign w:val="center"/>
          </w:tcPr>
          <w:p w14:paraId="730EA4BD" w14:textId="77777777" w:rsidR="007F6FC2" w:rsidRPr="00B92995" w:rsidRDefault="007F6FC2" w:rsidP="00CC5A4A">
            <w:pPr>
              <w:spacing w:after="60"/>
              <w:rPr>
                <w:b/>
                <w:lang w:val="sr-Cyrl-CS"/>
              </w:rPr>
            </w:pPr>
            <w:r w:rsidRPr="00B92995">
              <w:rPr>
                <w:b/>
                <w:lang w:val="sr-Cyrl-CS"/>
              </w:rPr>
              <w:t>Збирни подаци научне активност наставника</w:t>
            </w:r>
          </w:p>
        </w:tc>
      </w:tr>
      <w:tr w:rsidR="007F6FC2" w:rsidRPr="00B92995" w14:paraId="40F2B5A9" w14:textId="77777777" w:rsidTr="00CC5A4A">
        <w:trPr>
          <w:trHeight w:val="227"/>
          <w:jc w:val="center"/>
        </w:trPr>
        <w:tc>
          <w:tcPr>
            <w:tcW w:w="2321" w:type="pct"/>
            <w:gridSpan w:val="4"/>
            <w:vAlign w:val="center"/>
          </w:tcPr>
          <w:p w14:paraId="1D99167B" w14:textId="77777777" w:rsidR="007F6FC2" w:rsidRPr="00B92995" w:rsidRDefault="007F6FC2" w:rsidP="00CC5A4A">
            <w:pPr>
              <w:spacing w:after="60"/>
              <w:rPr>
                <w:lang w:val="sr-Cyrl-CS"/>
              </w:rPr>
            </w:pPr>
            <w:r w:rsidRPr="00B92995">
              <w:rPr>
                <w:lang w:val="sr-Cyrl-CS"/>
              </w:rPr>
              <w:t>Укупан број цитата, без аутоцитата</w:t>
            </w:r>
          </w:p>
        </w:tc>
        <w:tc>
          <w:tcPr>
            <w:tcW w:w="2679" w:type="pct"/>
            <w:gridSpan w:val="8"/>
          </w:tcPr>
          <w:p w14:paraId="150020B0" w14:textId="77777777" w:rsidR="007F6FC2" w:rsidRPr="00B92995" w:rsidRDefault="003C68DE" w:rsidP="006F68BA">
            <w:r>
              <w:t>73</w:t>
            </w:r>
            <w:r w:rsidR="007F6FC2">
              <w:t xml:space="preserve"> (Scopus)</w:t>
            </w:r>
          </w:p>
        </w:tc>
      </w:tr>
      <w:tr w:rsidR="007F6FC2" w:rsidRPr="00B92995" w14:paraId="7264F2C0" w14:textId="77777777" w:rsidTr="00CC5A4A">
        <w:trPr>
          <w:trHeight w:val="227"/>
          <w:jc w:val="center"/>
        </w:trPr>
        <w:tc>
          <w:tcPr>
            <w:tcW w:w="2321" w:type="pct"/>
            <w:gridSpan w:val="4"/>
            <w:vAlign w:val="center"/>
          </w:tcPr>
          <w:p w14:paraId="3A2FF74D" w14:textId="77777777" w:rsidR="007F6FC2" w:rsidRPr="00B92995" w:rsidRDefault="007F6FC2" w:rsidP="00CC5A4A">
            <w:pPr>
              <w:spacing w:after="60"/>
              <w:rPr>
                <w:lang w:val="sr-Cyrl-CS"/>
              </w:rPr>
            </w:pPr>
            <w:r w:rsidRPr="00B92995">
              <w:rPr>
                <w:lang w:val="sr-Cyrl-CS"/>
              </w:rPr>
              <w:t>Укупан број радова са SCI (или SSCI) листе</w:t>
            </w:r>
          </w:p>
        </w:tc>
        <w:tc>
          <w:tcPr>
            <w:tcW w:w="2679" w:type="pct"/>
            <w:gridSpan w:val="8"/>
          </w:tcPr>
          <w:p w14:paraId="5D2F15D2" w14:textId="77777777" w:rsidR="007F6FC2" w:rsidRPr="00B92995" w:rsidRDefault="007F6FC2" w:rsidP="00053CA3">
            <w:r>
              <w:t>22</w:t>
            </w:r>
          </w:p>
        </w:tc>
      </w:tr>
      <w:tr w:rsidR="007F6FC2" w:rsidRPr="00B92995" w14:paraId="7C5348AE" w14:textId="77777777" w:rsidTr="00CC5A4A">
        <w:trPr>
          <w:trHeight w:val="227"/>
          <w:jc w:val="center"/>
        </w:trPr>
        <w:tc>
          <w:tcPr>
            <w:tcW w:w="2321" w:type="pct"/>
            <w:gridSpan w:val="4"/>
            <w:vAlign w:val="center"/>
          </w:tcPr>
          <w:p w14:paraId="25C1AB4F" w14:textId="77777777" w:rsidR="007F6FC2" w:rsidRPr="00B92995" w:rsidRDefault="007F6FC2" w:rsidP="00CC5A4A">
            <w:pPr>
              <w:spacing w:after="60"/>
              <w:rPr>
                <w:b/>
                <w:lang w:val="sr-Cyrl-CS"/>
              </w:rPr>
            </w:pPr>
            <w:r w:rsidRPr="00B92995">
              <w:rPr>
                <w:lang w:val="sr-Cyrl-CS"/>
              </w:rPr>
              <w:t>Тренутно учешће на пројектима</w:t>
            </w:r>
          </w:p>
        </w:tc>
        <w:tc>
          <w:tcPr>
            <w:tcW w:w="624" w:type="pct"/>
            <w:gridSpan w:val="2"/>
            <w:vAlign w:val="center"/>
          </w:tcPr>
          <w:p w14:paraId="11D5BD69" w14:textId="77777777" w:rsidR="007F6FC2" w:rsidRPr="00B92995" w:rsidRDefault="007F6FC2" w:rsidP="00CC5A4A">
            <w:pPr>
              <w:spacing w:after="60"/>
              <w:rPr>
                <w:b/>
                <w:lang w:val="sr-Cyrl-CS"/>
              </w:rPr>
            </w:pPr>
            <w:r w:rsidRPr="00B92995">
              <w:rPr>
                <w:lang w:val="sr-Cyrl-CS"/>
              </w:rPr>
              <w:t>Домаћи</w:t>
            </w:r>
            <w:r>
              <w:rPr>
                <w:lang w:val="sr-Cyrl-CS"/>
              </w:rPr>
              <w:t>: -</w:t>
            </w:r>
          </w:p>
        </w:tc>
        <w:tc>
          <w:tcPr>
            <w:tcW w:w="2055" w:type="pct"/>
            <w:gridSpan w:val="6"/>
            <w:vAlign w:val="center"/>
          </w:tcPr>
          <w:p w14:paraId="4FD0121A" w14:textId="77777777" w:rsidR="007F6FC2" w:rsidRPr="00B92995" w:rsidRDefault="007F6FC2" w:rsidP="00CC5A4A">
            <w:pPr>
              <w:spacing w:after="60"/>
              <w:rPr>
                <w:b/>
                <w:lang w:val="sr-Cyrl-CS"/>
              </w:rPr>
            </w:pPr>
            <w:r w:rsidRPr="00B92995">
              <w:rPr>
                <w:lang w:val="sr-Cyrl-CS"/>
              </w:rPr>
              <w:t>Међународни</w:t>
            </w:r>
            <w:r>
              <w:rPr>
                <w:lang w:val="sr-Cyrl-CS"/>
              </w:rPr>
              <w:t>: -</w:t>
            </w:r>
          </w:p>
        </w:tc>
      </w:tr>
      <w:tr w:rsidR="007F6FC2" w:rsidRPr="00B92995" w14:paraId="0DDCF026" w14:textId="77777777" w:rsidTr="00CC5A4A">
        <w:trPr>
          <w:trHeight w:val="227"/>
          <w:jc w:val="center"/>
        </w:trPr>
        <w:tc>
          <w:tcPr>
            <w:tcW w:w="2321" w:type="pct"/>
            <w:gridSpan w:val="4"/>
            <w:vAlign w:val="center"/>
          </w:tcPr>
          <w:p w14:paraId="2218483A" w14:textId="77777777" w:rsidR="007F6FC2" w:rsidRPr="00B92995" w:rsidRDefault="007F6FC2" w:rsidP="00CC5A4A">
            <w:pPr>
              <w:spacing w:after="60"/>
              <w:rPr>
                <w:b/>
                <w:lang w:val="sr-Cyrl-CS"/>
              </w:rPr>
            </w:pPr>
            <w:r w:rsidRPr="00B92995">
              <w:rPr>
                <w:lang w:val="sr-Cyrl-CS"/>
              </w:rPr>
              <w:t>Усавршавања</w:t>
            </w:r>
          </w:p>
        </w:tc>
        <w:tc>
          <w:tcPr>
            <w:tcW w:w="2679" w:type="pct"/>
            <w:gridSpan w:val="8"/>
          </w:tcPr>
          <w:p w14:paraId="1897AD38" w14:textId="77777777" w:rsidR="007F6FC2" w:rsidRPr="00B92995" w:rsidRDefault="007F6FC2" w:rsidP="00CC5A4A">
            <w:pPr>
              <w:jc w:val="both"/>
            </w:pPr>
            <w:r w:rsidRPr="00B92995">
              <w:rPr>
                <w:i/>
              </w:rPr>
              <w:t>Human microbiome symposium</w:t>
            </w:r>
            <w:r w:rsidRPr="00B92995">
              <w:t xml:space="preserve"> 2018; Била руководилац </w:t>
            </w:r>
            <w:r w:rsidRPr="00B92995">
              <w:rPr>
                <w:i/>
              </w:rPr>
              <w:t>WHO</w:t>
            </w:r>
            <w:r w:rsidRPr="00B92995">
              <w:t xml:space="preserve"> пројекта (2010-2012), учесник </w:t>
            </w:r>
            <w:r w:rsidRPr="00B92995">
              <w:rPr>
                <w:i/>
              </w:rPr>
              <w:t>TEMPUS</w:t>
            </w:r>
            <w:r w:rsidRPr="00B92995">
              <w:t xml:space="preserve"> (2010-2013) и </w:t>
            </w:r>
            <w:r w:rsidRPr="00B92995">
              <w:rPr>
                <w:i/>
              </w:rPr>
              <w:t>ERASMUS</w:t>
            </w:r>
            <w:r w:rsidRPr="00B92995">
              <w:t xml:space="preserve"> пројекта (2015-2017)</w:t>
            </w:r>
          </w:p>
        </w:tc>
      </w:tr>
      <w:tr w:rsidR="007F6FC2" w:rsidRPr="00B92995" w14:paraId="6F092DE0" w14:textId="77777777" w:rsidTr="00CC5A4A">
        <w:trPr>
          <w:trHeight w:val="227"/>
          <w:jc w:val="center"/>
        </w:trPr>
        <w:tc>
          <w:tcPr>
            <w:tcW w:w="2321" w:type="pct"/>
            <w:gridSpan w:val="4"/>
            <w:vAlign w:val="center"/>
          </w:tcPr>
          <w:p w14:paraId="6FF59B1F" w14:textId="77777777" w:rsidR="007F6FC2" w:rsidRPr="00B92995" w:rsidRDefault="007F6FC2" w:rsidP="00CC5A4A">
            <w:pPr>
              <w:spacing w:after="60"/>
              <w:rPr>
                <w:b/>
                <w:lang w:val="sr-Cyrl-CS"/>
              </w:rPr>
            </w:pPr>
            <w:r w:rsidRPr="00B92995">
              <w:rPr>
                <w:lang w:val="sr-Cyrl-CS"/>
              </w:rPr>
              <w:t>Други подаци које сматрате релевантним</w:t>
            </w:r>
          </w:p>
        </w:tc>
        <w:tc>
          <w:tcPr>
            <w:tcW w:w="2679" w:type="pct"/>
            <w:gridSpan w:val="8"/>
            <w:vAlign w:val="center"/>
          </w:tcPr>
          <w:p w14:paraId="3C4CF2BE" w14:textId="77777777" w:rsidR="007F6FC2" w:rsidRPr="00B92995" w:rsidRDefault="007F6FC2" w:rsidP="00CC5A4A">
            <w:pPr>
              <w:spacing w:after="60"/>
              <w:rPr>
                <w:b/>
                <w:lang w:val="sr-Cyrl-CS"/>
              </w:rPr>
            </w:pPr>
          </w:p>
        </w:tc>
      </w:tr>
    </w:tbl>
    <w:p w14:paraId="4E31D5D2" w14:textId="77777777" w:rsidR="00CC5A4A" w:rsidRPr="00441250" w:rsidRDefault="00CC5A4A" w:rsidP="00CC5A4A">
      <w:pPr>
        <w:rPr>
          <w:sz w:val="6"/>
          <w:szCs w:val="6"/>
        </w:rPr>
      </w:pPr>
    </w:p>
    <w:p w14:paraId="68E4C569" w14:textId="77777777" w:rsidR="00CC5A4A" w:rsidRDefault="00CC5A4A" w:rsidP="00CC5A4A"/>
    <w:p w14:paraId="2B762B1B" w14:textId="77777777" w:rsidR="00427B30" w:rsidRDefault="00427B30"/>
    <w:sectPr w:rsidR="00427B30" w:rsidSect="00CC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4A"/>
    <w:rsid w:val="00020E5C"/>
    <w:rsid w:val="00053CA3"/>
    <w:rsid w:val="00107E21"/>
    <w:rsid w:val="0015782C"/>
    <w:rsid w:val="002B0CF3"/>
    <w:rsid w:val="003C68DE"/>
    <w:rsid w:val="00427B30"/>
    <w:rsid w:val="004833A6"/>
    <w:rsid w:val="0061287A"/>
    <w:rsid w:val="006F68BA"/>
    <w:rsid w:val="007F6FC2"/>
    <w:rsid w:val="00C16BCF"/>
    <w:rsid w:val="00CC5A4A"/>
    <w:rsid w:val="00D1517D"/>
    <w:rsid w:val="00EB2894"/>
    <w:rsid w:val="00FB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F4B8"/>
  <w15:chartTrackingRefBased/>
  <w15:docId w15:val="{71E6176F-40A5-47C8-9A61-D178C2AD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4A"/>
    <w:pPr>
      <w:widowControl w:val="0"/>
      <w:autoSpaceDE w:val="0"/>
      <w:autoSpaceDN w:val="0"/>
      <w:adjustRightInd w:val="0"/>
    </w:pPr>
    <w:rPr>
      <w:rFonts w:ascii="Times New Roman" w:eastAsia="Cambria" w:hAnsi="Times New Roman"/>
      <w:lang w:val="sr-Latn-CS" w:eastAsia="sr-Latn-CS"/>
    </w:rPr>
  </w:style>
  <w:style w:type="paragraph" w:styleId="Heading1">
    <w:name w:val="heading 1"/>
    <w:basedOn w:val="Normal"/>
    <w:next w:val="Normal"/>
    <w:link w:val="Heading1Char"/>
    <w:qFormat/>
    <w:rsid w:val="00CC5A4A"/>
    <w:pPr>
      <w:keepNext/>
      <w:widowControl/>
      <w:autoSpaceDE/>
      <w:autoSpaceDN/>
      <w:adjustRightInd/>
      <w:spacing w:before="240" w:after="60"/>
      <w:outlineLvl w:val="0"/>
    </w:pPr>
    <w:rPr>
      <w:rFonts w:ascii="Arial" w:eastAsia="Times New Roman"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A4A"/>
    <w:rPr>
      <w:rFonts w:ascii="Arial" w:eastAsia="Times New Roman" w:hAnsi="Arial" w:cs="Arial"/>
      <w:b/>
      <w:bCs/>
      <w:kern w:val="32"/>
      <w:sz w:val="32"/>
      <w:szCs w:val="32"/>
      <w:lang w:val="en-GB"/>
    </w:rPr>
  </w:style>
  <w:style w:type="character" w:styleId="Hyperlink">
    <w:name w:val="Hyperlink"/>
    <w:basedOn w:val="DefaultParagraphFont"/>
    <w:uiPriority w:val="99"/>
    <w:unhideWhenUsed/>
    <w:rsid w:val="00CC5A4A"/>
    <w:rPr>
      <w:color w:val="0000FF"/>
      <w:u w:val="single"/>
    </w:rPr>
  </w:style>
  <w:style w:type="paragraph" w:customStyle="1" w:styleId="TableParagraph">
    <w:name w:val="Table Paragraph"/>
    <w:basedOn w:val="Normal"/>
    <w:uiPriority w:val="1"/>
    <w:qFormat/>
    <w:rsid w:val="00CC5A4A"/>
    <w:pPr>
      <w:adjustRightInd/>
    </w:pPr>
    <w:rPr>
      <w:rFonts w:eastAsia="Times New Roman"/>
      <w:sz w:val="22"/>
      <w:szCs w:val="22"/>
      <w:lang w:val="en-US" w:eastAsia="en-US" w:bidi="en-US"/>
    </w:rPr>
  </w:style>
  <w:style w:type="character" w:customStyle="1" w:styleId="jrnl">
    <w:name w:val="jrnl"/>
    <w:basedOn w:val="DefaultParagraphFont"/>
    <w:rsid w:val="00CC5A4A"/>
  </w:style>
  <w:style w:type="character" w:customStyle="1" w:styleId="medium-bold">
    <w:name w:val="medium-bold"/>
    <w:basedOn w:val="DefaultParagraphFont"/>
    <w:rsid w:val="00CC5A4A"/>
  </w:style>
  <w:style w:type="character" w:customStyle="1" w:styleId="FontStyle15">
    <w:name w:val="Font Style15"/>
    <w:basedOn w:val="DefaultParagraphFont"/>
    <w:uiPriority w:val="99"/>
    <w:rsid w:val="00CC5A4A"/>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quityhealthj.biomedcentral.com/articles/10.1186/s12939-018-0806-0" TargetMode="External"/><Relationship Id="rId13" Type="http://schemas.openxmlformats.org/officeDocument/2006/relationships/hyperlink" Target="https://www.cdc.gov/pcd/issues/2013/pdf/13_0072.pdf" TargetMode="External"/><Relationship Id="rId3" Type="http://schemas.openxmlformats.org/officeDocument/2006/relationships/webSettings" Target="webSettings.xml"/><Relationship Id="rId7" Type="http://schemas.openxmlformats.org/officeDocument/2006/relationships/hyperlink" Target="https://reader.elsevier.com/reader/sd/pii/S0965229919312750?token=719D3CC80E1DF08C6B3BA65A88C3DDEFEEA725AB6DD7F08F3F25146CD5DD8E84AB963337AC27281B1A3B040A5D4C2D7F" TargetMode="External"/><Relationship Id="rId12" Type="http://schemas.openxmlformats.org/officeDocument/2006/relationships/hyperlink" Target="http://www.doiserbia.nb.rs/img/doi/0042-8450/2016/0042-84501600063J.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pi-res.com/d_attachment/ijerph/ijerph-19-03055/article_deploy/ijerph-19-03055.pdf" TargetMode="External"/><Relationship Id="rId11" Type="http://schemas.openxmlformats.org/officeDocument/2006/relationships/hyperlink" Target="http://www.doiserbia.nb.rs/img/doi/0042-8450/2016/0042-84501600062G.pdf" TargetMode="External"/><Relationship Id="rId5" Type="http://schemas.openxmlformats.org/officeDocument/2006/relationships/hyperlink" Target="file:///C:\Users\zorica.djokic\Downloads\ijerph-19-07691-v2.pdf" TargetMode="External"/><Relationship Id="rId15" Type="http://schemas.openxmlformats.org/officeDocument/2006/relationships/theme" Target="theme/theme1.xml"/><Relationship Id="rId10" Type="http://schemas.openxmlformats.org/officeDocument/2006/relationships/hyperlink" Target="http://www.srpskiarhiv.rs/global/pdf/onlinefirst/036OlF-v2.pdf" TargetMode="External"/><Relationship Id="rId4" Type="http://schemas.openxmlformats.org/officeDocument/2006/relationships/hyperlink" Target="http://www.kobson.nb.rs/nauka_u_srbiji.132.html?autor=Novakovic%20Budimka&amp;amp;samoar&amp;amp;.WOX15LixWUk" TargetMode="External"/><Relationship Id="rId9" Type="http://schemas.openxmlformats.org/officeDocument/2006/relationships/hyperlink" Target="http://srpskiarhiv.rs/global/pdf/onlinefirst/130OlF-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Links>
    <vt:vector size="78" baseType="variant">
      <vt:variant>
        <vt:i4>6422556</vt:i4>
      </vt:variant>
      <vt:variant>
        <vt:i4>36</vt:i4>
      </vt:variant>
      <vt:variant>
        <vt:i4>0</vt:i4>
      </vt:variant>
      <vt:variant>
        <vt:i4>5</vt:i4>
      </vt:variant>
      <vt:variant>
        <vt:lpwstr>https://www.cdc.gov/pcd/issues/2013/pdf/13_0072.pdf</vt:lpwstr>
      </vt:variant>
      <vt:variant>
        <vt:lpwstr/>
      </vt:variant>
      <vt:variant>
        <vt:i4>3539045</vt:i4>
      </vt:variant>
      <vt:variant>
        <vt:i4>33</vt:i4>
      </vt:variant>
      <vt:variant>
        <vt:i4>0</vt:i4>
      </vt:variant>
      <vt:variant>
        <vt:i4>5</vt:i4>
      </vt:variant>
      <vt:variant>
        <vt:lpwstr>http://www.doiserbia.nb.rs/img/doi/0042-8450/2016/0042-84501600063J.pdf</vt:lpwstr>
      </vt:variant>
      <vt:variant>
        <vt:lpwstr/>
      </vt:variant>
      <vt:variant>
        <vt:i4>3604584</vt:i4>
      </vt:variant>
      <vt:variant>
        <vt:i4>30</vt:i4>
      </vt:variant>
      <vt:variant>
        <vt:i4>0</vt:i4>
      </vt:variant>
      <vt:variant>
        <vt:i4>5</vt:i4>
      </vt:variant>
      <vt:variant>
        <vt:lpwstr>http://www.doiserbia.nb.rs/img/doi/0042-8450/2016/0042-84501600062G.pdf</vt:lpwstr>
      </vt:variant>
      <vt:variant>
        <vt:lpwstr/>
      </vt:variant>
      <vt:variant>
        <vt:i4>8060962</vt:i4>
      </vt:variant>
      <vt:variant>
        <vt:i4>27</vt:i4>
      </vt:variant>
      <vt:variant>
        <vt:i4>0</vt:i4>
      </vt:variant>
      <vt:variant>
        <vt:i4>5</vt:i4>
      </vt:variant>
      <vt:variant>
        <vt:lpwstr>http://www.srpskiarhiv.rs/global/pdf/onlinefirst/036OlF-v2.pdf</vt:lpwstr>
      </vt:variant>
      <vt:variant>
        <vt:lpwstr/>
      </vt:variant>
      <vt:variant>
        <vt:i4>8126587</vt:i4>
      </vt:variant>
      <vt:variant>
        <vt:i4>24</vt:i4>
      </vt:variant>
      <vt:variant>
        <vt:i4>0</vt:i4>
      </vt:variant>
      <vt:variant>
        <vt:i4>5</vt:i4>
      </vt:variant>
      <vt:variant>
        <vt:lpwstr>http://srpskiarhiv.rs/global/pdf/onlinefirst/130OlF-v2.pdf</vt:lpwstr>
      </vt:variant>
      <vt:variant>
        <vt:lpwstr/>
      </vt:variant>
      <vt:variant>
        <vt:i4>2097272</vt:i4>
      </vt:variant>
      <vt:variant>
        <vt:i4>21</vt:i4>
      </vt:variant>
      <vt:variant>
        <vt:i4>0</vt:i4>
      </vt:variant>
      <vt:variant>
        <vt:i4>5</vt:i4>
      </vt:variant>
      <vt:variant>
        <vt:lpwstr>https://equityhealthj.biomedcentral.com/articles/10.1186/s12939-018-0806-0</vt:lpwstr>
      </vt:variant>
      <vt:variant>
        <vt:lpwstr/>
      </vt:variant>
      <vt:variant>
        <vt:i4>7012467</vt:i4>
      </vt:variant>
      <vt:variant>
        <vt:i4>18</vt:i4>
      </vt:variant>
      <vt:variant>
        <vt:i4>0</vt:i4>
      </vt:variant>
      <vt:variant>
        <vt:i4>5</vt:i4>
      </vt:variant>
      <vt:variant>
        <vt:lpwstr>https://reader.elsevier.com/reader/sd/pii/S0965229919312750?token=719D3CC80E1DF08C6B3BA65A88C3DDEFEEA725AB6DD7F08F3F25146CD5DD8E84AB963337AC27281B1A3B040A5D4C2D7F</vt:lpwstr>
      </vt:variant>
      <vt:variant>
        <vt:lpwstr/>
      </vt:variant>
      <vt:variant>
        <vt:i4>6750251</vt:i4>
      </vt:variant>
      <vt:variant>
        <vt:i4>15</vt:i4>
      </vt:variant>
      <vt:variant>
        <vt:i4>0</vt:i4>
      </vt:variant>
      <vt:variant>
        <vt:i4>5</vt:i4>
      </vt:variant>
      <vt:variant>
        <vt:lpwstr>https://mdpi-res.com/d_attachment/ijerph/ijerph-19-03055/article_deploy/ijerph-19-03055.pdf</vt:lpwstr>
      </vt:variant>
      <vt:variant>
        <vt:lpwstr/>
      </vt:variant>
      <vt:variant>
        <vt:i4>7340128</vt:i4>
      </vt:variant>
      <vt:variant>
        <vt:i4>12</vt:i4>
      </vt:variant>
      <vt:variant>
        <vt:i4>0</vt:i4>
      </vt:variant>
      <vt:variant>
        <vt:i4>5</vt:i4>
      </vt:variant>
      <vt:variant>
        <vt:lpwstr>C:\Users\zorica.djokic\Downloads\ijerph-19-07691-v2.pdf</vt:lpwstr>
      </vt:variant>
      <vt:variant>
        <vt:lpwstr/>
      </vt:variant>
      <vt:variant>
        <vt:i4>1048661</vt:i4>
      </vt:variant>
      <vt:variant>
        <vt:i4>9</vt:i4>
      </vt:variant>
      <vt:variant>
        <vt:i4>0</vt:i4>
      </vt:variant>
      <vt:variant>
        <vt:i4>5</vt:i4>
      </vt:variant>
      <vt:variant>
        <vt:lpwstr>https://www.mdpi.com/2227-9032/10/11/2222/htm</vt:lpwstr>
      </vt:variant>
      <vt:variant>
        <vt:lpwstr/>
      </vt:variant>
      <vt:variant>
        <vt:i4>7864376</vt:i4>
      </vt:variant>
      <vt:variant>
        <vt:i4>6</vt:i4>
      </vt:variant>
      <vt:variant>
        <vt:i4>0</vt:i4>
      </vt:variant>
      <vt:variant>
        <vt:i4>5</vt:i4>
      </vt:variant>
      <vt:variant>
        <vt:lpwstr>https://www.mdpi.com/1660-4601/19/23/16240</vt:lpwstr>
      </vt:variant>
      <vt:variant>
        <vt:lpwstr/>
      </vt:variant>
      <vt:variant>
        <vt:i4>1507357</vt:i4>
      </vt:variant>
      <vt:variant>
        <vt:i4>3</vt:i4>
      </vt:variant>
      <vt:variant>
        <vt:i4>0</vt:i4>
      </vt:variant>
      <vt:variant>
        <vt:i4>5</vt:i4>
      </vt:variant>
      <vt:variant>
        <vt:lpwstr>C:\Users\zorica.djokic\Downloads\s40264-023-01284-6-1.pdf</vt:lpwstr>
      </vt:variant>
      <vt:variant>
        <vt:lpwstr/>
      </vt:variant>
      <vt:variant>
        <vt:i4>6029389</vt:i4>
      </vt:variant>
      <vt:variant>
        <vt:i4>0</vt:i4>
      </vt:variant>
      <vt:variant>
        <vt:i4>0</vt:i4>
      </vt:variant>
      <vt:variant>
        <vt:i4>5</vt:i4>
      </vt:variant>
      <vt:variant>
        <vt:lpwstr>http://www.kobson.nb.rs/nauka_u_srbiji.132.html?autor=Novakovic%20Budimka&amp;amp;samoar&amp;amp;.WOX15LixWUk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Ivana Tojić</cp:lastModifiedBy>
  <cp:revision>2</cp:revision>
  <dcterms:created xsi:type="dcterms:W3CDTF">2023-04-10T12:31:00Z</dcterms:created>
  <dcterms:modified xsi:type="dcterms:W3CDTF">2023-04-10T12:31:00Z</dcterms:modified>
</cp:coreProperties>
</file>