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48353F" w:rsidRDefault="00494424" w:rsidP="00494424">
      <w:pPr>
        <w:spacing w:after="60"/>
        <w:jc w:val="center"/>
        <w:rPr>
          <w:rFonts w:asciiTheme="minorHAnsi" w:hAnsiTheme="minorHAnsi" w:cstheme="minorHAnsi"/>
          <w:iCs/>
          <w:sz w:val="22"/>
          <w:szCs w:val="22"/>
          <w:lang w:val="sr-Cyrl-CS"/>
        </w:rPr>
      </w:pPr>
      <w:r w:rsidRPr="0048353F">
        <w:rPr>
          <w:rFonts w:asciiTheme="minorHAnsi" w:hAnsiTheme="minorHAnsi" w:cstheme="minorHAnsi"/>
          <w:b/>
          <w:iCs/>
          <w:sz w:val="22"/>
          <w:szCs w:val="22"/>
          <w:lang w:val="sr-Cyrl-CS"/>
        </w:rPr>
        <w:t>Табела. 9.</w:t>
      </w:r>
      <w:r w:rsidRPr="0048353F">
        <w:rPr>
          <w:rFonts w:asciiTheme="minorHAnsi" w:hAnsiTheme="minorHAnsi" w:cstheme="minorHAnsi"/>
          <w:b/>
          <w:iCs/>
          <w:sz w:val="22"/>
          <w:szCs w:val="22"/>
        </w:rPr>
        <w:t>8</w:t>
      </w:r>
      <w:r w:rsidRPr="0048353F">
        <w:rPr>
          <w:rFonts w:asciiTheme="minorHAnsi" w:hAnsiTheme="minorHAnsi" w:cstheme="minorHAnsi"/>
          <w:iCs/>
          <w:sz w:val="22"/>
          <w:szCs w:val="22"/>
          <w:lang w:val="sr-Cyrl-CS"/>
        </w:rPr>
        <w:t xml:space="preserve"> 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1556"/>
        <w:gridCol w:w="909"/>
        <w:gridCol w:w="7"/>
        <w:gridCol w:w="1345"/>
        <w:gridCol w:w="960"/>
        <w:gridCol w:w="417"/>
        <w:gridCol w:w="982"/>
        <w:gridCol w:w="592"/>
        <w:gridCol w:w="247"/>
        <w:gridCol w:w="397"/>
        <w:gridCol w:w="655"/>
        <w:gridCol w:w="655"/>
        <w:gridCol w:w="822"/>
      </w:tblGrid>
      <w:tr w:rsidR="00494424" w:rsidRPr="0048353F" w:rsidTr="001D0E91">
        <w:trPr>
          <w:trHeight w:val="227"/>
          <w:jc w:val="center"/>
        </w:trPr>
        <w:tc>
          <w:tcPr>
            <w:tcW w:w="1526" w:type="pct"/>
            <w:gridSpan w:val="3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>Име и презиме</w:t>
            </w:r>
          </w:p>
        </w:tc>
        <w:tc>
          <w:tcPr>
            <w:tcW w:w="3474" w:type="pct"/>
            <w:gridSpan w:val="11"/>
            <w:vAlign w:val="center"/>
          </w:tcPr>
          <w:p w:rsidR="00494424" w:rsidRPr="0048353F" w:rsidRDefault="00604974" w:rsidP="008E1BFA">
            <w:pPr>
              <w:spacing w:after="60"/>
              <w:rPr>
                <w:rFonts w:asciiTheme="minorHAnsi" w:hAnsiTheme="minorHAnsi" w:cstheme="minorHAnsi"/>
                <w:lang/>
              </w:rPr>
            </w:pPr>
            <w:hyperlink r:id="rId4" w:history="1">
              <w:r w:rsidR="007A4230" w:rsidRPr="00604974">
                <w:rPr>
                  <w:rStyle w:val="Hyperlink"/>
                  <w:rFonts w:asciiTheme="minorHAnsi" w:hAnsiTheme="minorHAnsi" w:cstheme="minorHAnsi"/>
                  <w:lang/>
                </w:rPr>
                <w:t>Дејан Добријевић</w:t>
              </w:r>
            </w:hyperlink>
          </w:p>
        </w:tc>
      </w:tr>
      <w:tr w:rsidR="00494424" w:rsidRPr="0048353F" w:rsidTr="001D0E91">
        <w:trPr>
          <w:trHeight w:val="227"/>
          <w:jc w:val="center"/>
        </w:trPr>
        <w:tc>
          <w:tcPr>
            <w:tcW w:w="1526" w:type="pct"/>
            <w:gridSpan w:val="3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>Звање</w:t>
            </w:r>
          </w:p>
        </w:tc>
        <w:tc>
          <w:tcPr>
            <w:tcW w:w="3474" w:type="pct"/>
            <w:gridSpan w:val="11"/>
            <w:vAlign w:val="center"/>
          </w:tcPr>
          <w:p w:rsidR="00494424" w:rsidRPr="0048353F" w:rsidRDefault="007A4230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Доцент</w:t>
            </w:r>
          </w:p>
        </w:tc>
      </w:tr>
      <w:tr w:rsidR="00494424" w:rsidRPr="0048353F" w:rsidTr="001D0E91">
        <w:trPr>
          <w:trHeight w:val="227"/>
          <w:jc w:val="center"/>
        </w:trPr>
        <w:tc>
          <w:tcPr>
            <w:tcW w:w="1526" w:type="pct"/>
            <w:gridSpan w:val="3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474" w:type="pct"/>
            <w:gridSpan w:val="11"/>
            <w:vAlign w:val="center"/>
          </w:tcPr>
          <w:p w:rsidR="00494424" w:rsidRPr="0048353F" w:rsidRDefault="007A4230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Биохемија</w:t>
            </w:r>
          </w:p>
        </w:tc>
      </w:tr>
      <w:tr w:rsidR="00975A90" w:rsidRPr="0048353F" w:rsidTr="00216EF0">
        <w:trPr>
          <w:trHeight w:val="227"/>
          <w:jc w:val="center"/>
        </w:trPr>
        <w:tc>
          <w:tcPr>
            <w:tcW w:w="1071" w:type="pct"/>
            <w:gridSpan w:val="2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>Академска каријера</w:t>
            </w:r>
          </w:p>
        </w:tc>
        <w:tc>
          <w:tcPr>
            <w:tcW w:w="459" w:type="pct"/>
            <w:gridSpan w:val="2"/>
            <w:vAlign w:val="center"/>
          </w:tcPr>
          <w:p w:rsidR="00494424" w:rsidRPr="0048353F" w:rsidRDefault="00494424" w:rsidP="00975A90">
            <w:pPr>
              <w:spacing w:after="60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>Година</w:t>
            </w:r>
          </w:p>
        </w:tc>
        <w:tc>
          <w:tcPr>
            <w:tcW w:w="1859" w:type="pct"/>
            <w:gridSpan w:val="4"/>
            <w:vAlign w:val="center"/>
          </w:tcPr>
          <w:p w:rsidR="00494424" w:rsidRPr="0048353F" w:rsidRDefault="00494424" w:rsidP="00975A90">
            <w:pPr>
              <w:spacing w:after="60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>Институција</w:t>
            </w:r>
          </w:p>
        </w:tc>
        <w:tc>
          <w:tcPr>
            <w:tcW w:w="1612" w:type="pct"/>
            <w:gridSpan w:val="6"/>
            <w:vAlign w:val="center"/>
          </w:tcPr>
          <w:p w:rsidR="00494424" w:rsidRPr="0048353F" w:rsidRDefault="00494424" w:rsidP="00975A90">
            <w:pPr>
              <w:spacing w:after="60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48353F" w:rsidTr="00216EF0">
        <w:trPr>
          <w:trHeight w:val="227"/>
          <w:jc w:val="center"/>
        </w:trPr>
        <w:tc>
          <w:tcPr>
            <w:tcW w:w="1071" w:type="pct"/>
            <w:gridSpan w:val="2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Избор у звање</w:t>
            </w:r>
          </w:p>
        </w:tc>
        <w:tc>
          <w:tcPr>
            <w:tcW w:w="459" w:type="pct"/>
            <w:gridSpan w:val="2"/>
            <w:vAlign w:val="center"/>
          </w:tcPr>
          <w:p w:rsidR="00494424" w:rsidRPr="0048353F" w:rsidRDefault="007A4230" w:rsidP="008E1BFA">
            <w:pPr>
              <w:spacing w:after="60"/>
              <w:rPr>
                <w:rFonts w:asciiTheme="minorHAnsi" w:hAnsiTheme="minorHAnsi" w:cstheme="minorHAnsi"/>
                <w:lang/>
              </w:rPr>
            </w:pPr>
            <w:r w:rsidRPr="0048353F">
              <w:rPr>
                <w:rFonts w:asciiTheme="minorHAnsi" w:hAnsiTheme="minorHAnsi" w:cstheme="minorHAnsi"/>
                <w:lang/>
              </w:rPr>
              <w:t>2026.</w:t>
            </w:r>
          </w:p>
        </w:tc>
        <w:tc>
          <w:tcPr>
            <w:tcW w:w="1859" w:type="pct"/>
            <w:gridSpan w:val="4"/>
            <w:vAlign w:val="center"/>
          </w:tcPr>
          <w:p w:rsidR="00494424" w:rsidRPr="0048353F" w:rsidRDefault="007A4230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Медицински факултет Нови Сад</w:t>
            </w:r>
          </w:p>
        </w:tc>
        <w:tc>
          <w:tcPr>
            <w:tcW w:w="1612" w:type="pct"/>
            <w:gridSpan w:val="6"/>
            <w:vAlign w:val="center"/>
          </w:tcPr>
          <w:p w:rsidR="00494424" w:rsidRPr="0048353F" w:rsidRDefault="007A4230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Биохемија</w:t>
            </w:r>
          </w:p>
        </w:tc>
      </w:tr>
      <w:tr w:rsidR="00975A90" w:rsidRPr="0048353F" w:rsidTr="00216EF0">
        <w:trPr>
          <w:trHeight w:val="227"/>
          <w:jc w:val="center"/>
        </w:trPr>
        <w:tc>
          <w:tcPr>
            <w:tcW w:w="1071" w:type="pct"/>
            <w:gridSpan w:val="2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Докторат</w:t>
            </w:r>
          </w:p>
        </w:tc>
        <w:tc>
          <w:tcPr>
            <w:tcW w:w="459" w:type="pct"/>
            <w:gridSpan w:val="2"/>
            <w:vAlign w:val="center"/>
          </w:tcPr>
          <w:p w:rsidR="00494424" w:rsidRPr="0048353F" w:rsidRDefault="007A4230" w:rsidP="008E1BFA">
            <w:pPr>
              <w:spacing w:after="60"/>
              <w:rPr>
                <w:rFonts w:asciiTheme="minorHAnsi" w:hAnsiTheme="minorHAnsi" w:cstheme="minorHAnsi"/>
                <w:lang/>
              </w:rPr>
            </w:pPr>
            <w:r w:rsidRPr="0048353F">
              <w:rPr>
                <w:rFonts w:asciiTheme="minorHAnsi" w:hAnsiTheme="minorHAnsi" w:cstheme="minorHAnsi"/>
                <w:lang/>
              </w:rPr>
              <w:t>2024.</w:t>
            </w:r>
          </w:p>
        </w:tc>
        <w:tc>
          <w:tcPr>
            <w:tcW w:w="1859" w:type="pct"/>
            <w:gridSpan w:val="4"/>
            <w:vAlign w:val="center"/>
          </w:tcPr>
          <w:p w:rsidR="00494424" w:rsidRPr="0048353F" w:rsidRDefault="007A4230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Медицински факултет Нови Сад</w:t>
            </w:r>
          </w:p>
        </w:tc>
        <w:tc>
          <w:tcPr>
            <w:tcW w:w="1612" w:type="pct"/>
            <w:gridSpan w:val="6"/>
            <w:vAlign w:val="center"/>
          </w:tcPr>
          <w:p w:rsidR="00494424" w:rsidRPr="0048353F" w:rsidRDefault="007A4230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Клиничка биохемија</w:t>
            </w:r>
          </w:p>
        </w:tc>
      </w:tr>
      <w:tr w:rsidR="00975A90" w:rsidRPr="0048353F" w:rsidTr="00216EF0">
        <w:trPr>
          <w:trHeight w:val="227"/>
          <w:jc w:val="center"/>
        </w:trPr>
        <w:tc>
          <w:tcPr>
            <w:tcW w:w="1071" w:type="pct"/>
            <w:gridSpan w:val="2"/>
            <w:vAlign w:val="center"/>
          </w:tcPr>
          <w:p w:rsidR="00975A90" w:rsidRPr="0048353F" w:rsidRDefault="00975A90" w:rsidP="008E1BFA">
            <w:pPr>
              <w:spacing w:after="60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Специјализација</w:t>
            </w:r>
          </w:p>
        </w:tc>
        <w:tc>
          <w:tcPr>
            <w:tcW w:w="459" w:type="pct"/>
            <w:gridSpan w:val="2"/>
            <w:vAlign w:val="center"/>
          </w:tcPr>
          <w:p w:rsidR="00975A90" w:rsidRPr="0048353F" w:rsidRDefault="007A4230" w:rsidP="008E1BFA">
            <w:pPr>
              <w:spacing w:after="60"/>
              <w:rPr>
                <w:rFonts w:asciiTheme="minorHAnsi" w:hAnsiTheme="minorHAnsi" w:cstheme="minorHAnsi"/>
                <w:lang/>
              </w:rPr>
            </w:pPr>
            <w:r w:rsidRPr="0048353F">
              <w:rPr>
                <w:rFonts w:asciiTheme="minorHAnsi" w:hAnsiTheme="minorHAnsi" w:cstheme="minorHAnsi"/>
                <w:lang/>
              </w:rPr>
              <w:t>2025.</w:t>
            </w:r>
          </w:p>
        </w:tc>
        <w:tc>
          <w:tcPr>
            <w:tcW w:w="1859" w:type="pct"/>
            <w:gridSpan w:val="4"/>
            <w:vAlign w:val="center"/>
          </w:tcPr>
          <w:p w:rsidR="00975A90" w:rsidRPr="0048353F" w:rsidRDefault="007A4230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Медицински факултет Нови Сад</w:t>
            </w:r>
          </w:p>
        </w:tc>
        <w:tc>
          <w:tcPr>
            <w:tcW w:w="1612" w:type="pct"/>
            <w:gridSpan w:val="6"/>
            <w:vAlign w:val="center"/>
          </w:tcPr>
          <w:p w:rsidR="00975A90" w:rsidRPr="0048353F" w:rsidRDefault="007A4230" w:rsidP="008E1BFA">
            <w:pPr>
              <w:spacing w:after="60"/>
              <w:rPr>
                <w:rFonts w:asciiTheme="minorHAnsi" w:hAnsiTheme="minorHAnsi" w:cstheme="minorHAnsi"/>
                <w:lang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Клиничка биохемија</w:t>
            </w:r>
          </w:p>
        </w:tc>
      </w:tr>
      <w:tr w:rsidR="00975A90" w:rsidRPr="0048353F" w:rsidTr="00216EF0">
        <w:trPr>
          <w:trHeight w:val="227"/>
          <w:jc w:val="center"/>
        </w:trPr>
        <w:tc>
          <w:tcPr>
            <w:tcW w:w="1071" w:type="pct"/>
            <w:gridSpan w:val="2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Диплома</w:t>
            </w:r>
          </w:p>
        </w:tc>
        <w:tc>
          <w:tcPr>
            <w:tcW w:w="459" w:type="pct"/>
            <w:gridSpan w:val="2"/>
            <w:vAlign w:val="center"/>
          </w:tcPr>
          <w:p w:rsidR="00494424" w:rsidRPr="0048353F" w:rsidRDefault="007A4230" w:rsidP="008E1BFA">
            <w:pPr>
              <w:spacing w:after="60"/>
              <w:rPr>
                <w:rFonts w:asciiTheme="minorHAnsi" w:hAnsiTheme="minorHAnsi" w:cstheme="minorHAnsi"/>
                <w:lang/>
              </w:rPr>
            </w:pPr>
            <w:r w:rsidRPr="0048353F">
              <w:rPr>
                <w:rFonts w:asciiTheme="minorHAnsi" w:hAnsiTheme="minorHAnsi" w:cstheme="minorHAnsi"/>
                <w:lang/>
              </w:rPr>
              <w:t>2018.</w:t>
            </w:r>
          </w:p>
        </w:tc>
        <w:tc>
          <w:tcPr>
            <w:tcW w:w="1859" w:type="pct"/>
            <w:gridSpan w:val="4"/>
            <w:vAlign w:val="center"/>
          </w:tcPr>
          <w:p w:rsidR="00494424" w:rsidRPr="0048353F" w:rsidRDefault="007A4230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Медицински факултет Нови Сад</w:t>
            </w:r>
          </w:p>
        </w:tc>
        <w:tc>
          <w:tcPr>
            <w:tcW w:w="1612" w:type="pct"/>
            <w:gridSpan w:val="6"/>
            <w:vAlign w:val="center"/>
          </w:tcPr>
          <w:p w:rsidR="00494424" w:rsidRPr="0048353F" w:rsidRDefault="007A4230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Општа медицина</w:t>
            </w:r>
          </w:p>
        </w:tc>
      </w:tr>
      <w:tr w:rsidR="00494424" w:rsidRPr="0048353F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>Списак дисертација</w:t>
            </w:r>
            <w:r w:rsidRPr="0048353F">
              <w:rPr>
                <w:rFonts w:asciiTheme="minorHAnsi" w:hAnsiTheme="minorHAnsi" w:cstheme="minorHAnsi"/>
                <w:b/>
              </w:rPr>
              <w:t xml:space="preserve">-докторских уметничких пројеката </w:t>
            </w:r>
            <w:r w:rsidRPr="0048353F">
              <w:rPr>
                <w:rFonts w:asciiTheme="minorHAnsi" w:hAnsiTheme="minorHAnsi" w:cstheme="minorHAnsi"/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48353F" w:rsidTr="00216EF0">
        <w:trPr>
          <w:trHeight w:val="227"/>
          <w:jc w:val="center"/>
        </w:trPr>
        <w:tc>
          <w:tcPr>
            <w:tcW w:w="297" w:type="pct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Р.Б.</w:t>
            </w:r>
          </w:p>
        </w:tc>
        <w:tc>
          <w:tcPr>
            <w:tcW w:w="1909" w:type="pct"/>
            <w:gridSpan w:val="4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Наслов дисертације</w:t>
            </w:r>
            <w:r w:rsidRPr="0048353F">
              <w:rPr>
                <w:rFonts w:asciiTheme="minorHAnsi" w:hAnsiTheme="minorHAnsi" w:cstheme="minorHAnsi"/>
              </w:rPr>
              <w:t xml:space="preserve">- докторског уметничког пројекта </w:t>
            </w:r>
          </w:p>
        </w:tc>
        <w:tc>
          <w:tcPr>
            <w:tcW w:w="692" w:type="pct"/>
            <w:gridSpan w:val="2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Име кандидата</w:t>
            </w:r>
          </w:p>
        </w:tc>
        <w:tc>
          <w:tcPr>
            <w:tcW w:w="917" w:type="pct"/>
            <w:gridSpan w:val="3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 xml:space="preserve">*пријављена </w:t>
            </w:r>
          </w:p>
        </w:tc>
        <w:tc>
          <w:tcPr>
            <w:tcW w:w="1185" w:type="pct"/>
            <w:gridSpan w:val="4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** одбрањена</w:t>
            </w:r>
          </w:p>
        </w:tc>
      </w:tr>
      <w:tr w:rsidR="00494424" w:rsidRPr="0048353F" w:rsidTr="00216EF0">
        <w:trPr>
          <w:trHeight w:val="227"/>
          <w:jc w:val="center"/>
        </w:trPr>
        <w:tc>
          <w:tcPr>
            <w:tcW w:w="297" w:type="pct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909" w:type="pct"/>
            <w:gridSpan w:val="4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17" w:type="pct"/>
            <w:gridSpan w:val="3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185" w:type="pct"/>
            <w:gridSpan w:val="4"/>
            <w:vAlign w:val="center"/>
          </w:tcPr>
          <w:p w:rsidR="00494424" w:rsidRPr="0048353F" w:rsidRDefault="00494424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494424" w:rsidRPr="0048353F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48353F" w:rsidRDefault="00494424" w:rsidP="00975A90">
            <w:pPr>
              <w:spacing w:after="6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*Година  у којој је дисертација</w:t>
            </w:r>
            <w:r w:rsidRPr="0048353F">
              <w:rPr>
                <w:rFonts w:asciiTheme="minorHAnsi" w:hAnsiTheme="minorHAnsi" w:cstheme="minorHAnsi"/>
              </w:rPr>
              <w:t xml:space="preserve">-докторски уметнички пројекат </w:t>
            </w:r>
            <w:r w:rsidRPr="0048353F">
              <w:rPr>
                <w:rFonts w:asciiTheme="minorHAnsi" w:hAnsiTheme="minorHAnsi" w:cstheme="minorHAnsi"/>
                <w:lang w:val="sr-Cyrl-CS"/>
              </w:rPr>
              <w:t xml:space="preserve"> пријављена</w:t>
            </w:r>
            <w:r w:rsidRPr="0048353F">
              <w:rPr>
                <w:rFonts w:asciiTheme="minorHAnsi" w:hAnsiTheme="minorHAnsi" w:cstheme="minorHAnsi"/>
              </w:rPr>
              <w:t xml:space="preserve">-пријављен </w:t>
            </w:r>
            <w:r w:rsidRPr="0048353F">
              <w:rPr>
                <w:rFonts w:asciiTheme="minorHAnsi" w:hAnsiTheme="minorHAnsi" w:cstheme="minorHAnsi"/>
                <w:lang w:val="sr-Cyrl-CS"/>
              </w:rPr>
              <w:t>(само за дисертације</w:t>
            </w:r>
            <w:r w:rsidRPr="0048353F">
              <w:rPr>
                <w:rFonts w:asciiTheme="minorHAnsi" w:hAnsiTheme="minorHAnsi" w:cstheme="minorHAnsi"/>
              </w:rPr>
              <w:t xml:space="preserve">-докторске уметничке пројекте </w:t>
            </w:r>
            <w:r w:rsidRPr="0048353F">
              <w:rPr>
                <w:rFonts w:asciiTheme="minorHAnsi" w:hAnsiTheme="minorHAnsi" w:cstheme="minorHAnsi"/>
                <w:lang w:val="sr-Cyrl-CS"/>
              </w:rPr>
              <w:t xml:space="preserve"> које су у току), ** Година у којој је дисертација</w:t>
            </w:r>
            <w:r w:rsidRPr="0048353F">
              <w:rPr>
                <w:rFonts w:asciiTheme="minorHAnsi" w:hAnsiTheme="minorHAnsi" w:cstheme="minorHAnsi"/>
              </w:rPr>
              <w:t xml:space="preserve">-докторски уметнички пројекат </w:t>
            </w:r>
            <w:r w:rsidRPr="0048353F">
              <w:rPr>
                <w:rFonts w:asciiTheme="minorHAnsi" w:hAnsiTheme="minorHAnsi" w:cstheme="minorHAnsi"/>
                <w:lang w:val="sr-Cyrl-CS"/>
              </w:rPr>
              <w:t xml:space="preserve"> одбрањена (само за дисертације</w:t>
            </w:r>
            <w:r w:rsidRPr="0048353F">
              <w:rPr>
                <w:rFonts w:asciiTheme="minorHAnsi" w:hAnsiTheme="minorHAnsi" w:cstheme="minorHAnsi"/>
              </w:rPr>
              <w:t xml:space="preserve">-докторско уметничке пројекте </w:t>
            </w:r>
            <w:r w:rsidRPr="0048353F">
              <w:rPr>
                <w:rFonts w:asciiTheme="minorHAnsi" w:hAnsiTheme="minorHAnsi" w:cstheme="minorHAnsi"/>
                <w:lang w:val="sr-Cyrl-CS"/>
              </w:rPr>
              <w:t xml:space="preserve"> из ранијег периода)</w:t>
            </w:r>
          </w:p>
        </w:tc>
      </w:tr>
      <w:tr w:rsidR="00494424" w:rsidRPr="0048353F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48353F" w:rsidRDefault="00494424" w:rsidP="00975A90">
            <w:pPr>
              <w:spacing w:after="60"/>
              <w:jc w:val="both"/>
              <w:rPr>
                <w:rFonts w:asciiTheme="minorHAnsi" w:hAnsiTheme="minorHAnsi" w:cstheme="minorHAnsi"/>
                <w:b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>Категоризација публикације</w:t>
            </w:r>
            <w:r w:rsidRPr="0048353F">
              <w:rPr>
                <w:rFonts w:asciiTheme="minorHAnsi" w:hAnsiTheme="minorHAnsi" w:cstheme="minorHAnsi"/>
                <w:b/>
              </w:rPr>
              <w:t xml:space="preserve"> научних радова  из области датог студијског програма </w:t>
            </w:r>
            <w:r w:rsidRPr="0048353F">
              <w:rPr>
                <w:rFonts w:asciiTheme="minorHAnsi" w:hAnsiTheme="minorHAnsi" w:cstheme="minorHAnsi"/>
                <w:b/>
                <w:lang w:val="sr-Cyrl-CS"/>
              </w:rPr>
              <w:t xml:space="preserve"> према класификацији ре</w:t>
            </w:r>
            <w:r w:rsidRPr="0048353F">
              <w:rPr>
                <w:rFonts w:asciiTheme="minorHAnsi" w:hAnsiTheme="minorHAnsi" w:cstheme="minorHAnsi"/>
                <w:b/>
              </w:rPr>
              <w:t>с</w:t>
            </w:r>
            <w:r w:rsidRPr="0048353F">
              <w:rPr>
                <w:rFonts w:asciiTheme="minorHAnsi" w:hAnsiTheme="minorHAnsi" w:cstheme="minorHAnsi"/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 поље</w:t>
            </w:r>
          </w:p>
        </w:tc>
      </w:tr>
      <w:tr w:rsidR="00FA083F" w:rsidRPr="0048353F" w:rsidTr="00216EF0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FA083F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  <w:b/>
              </w:rPr>
            </w:pPr>
            <w:r w:rsidRPr="0048353F">
              <w:rPr>
                <w:rFonts w:asciiTheme="minorHAnsi" w:hAnsiTheme="minorHAnsi" w:cstheme="minorHAnsi"/>
                <w:b/>
              </w:rPr>
              <w:t>Р.б.</w:t>
            </w:r>
          </w:p>
        </w:tc>
        <w:tc>
          <w:tcPr>
            <w:tcW w:w="3720" w:type="pct"/>
            <w:gridSpan w:val="10"/>
          </w:tcPr>
          <w:p w:rsidR="00FA083F" w:rsidRPr="0048353F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8353F">
              <w:rPr>
                <w:rFonts w:asciiTheme="minorHAnsi" w:hAnsiTheme="minorHAnsi" w:cstheme="minorHAnsi"/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329" w:type="pct"/>
          </w:tcPr>
          <w:p w:rsidR="00FA083F" w:rsidRPr="0048353F" w:rsidRDefault="00FA083F" w:rsidP="00417E8C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53F">
              <w:rPr>
                <w:rFonts w:asciiTheme="minorHAnsi" w:hAnsiTheme="minorHAnsi" w:cstheme="minorHAnsi"/>
                <w:b/>
                <w:sz w:val="20"/>
                <w:szCs w:val="20"/>
              </w:rPr>
              <w:t>ISI</w:t>
            </w:r>
          </w:p>
        </w:tc>
        <w:tc>
          <w:tcPr>
            <w:tcW w:w="329" w:type="pct"/>
          </w:tcPr>
          <w:p w:rsidR="00FA083F" w:rsidRPr="0048353F" w:rsidRDefault="00FA083F" w:rsidP="00417E8C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53F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325" w:type="pct"/>
          </w:tcPr>
          <w:p w:rsidR="00FA083F" w:rsidRPr="0048353F" w:rsidRDefault="00FA083F" w:rsidP="00417E8C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53F">
              <w:rPr>
                <w:rFonts w:asciiTheme="minorHAnsi" w:hAnsiTheme="minorHAnsi" w:cstheme="minorHAnsi"/>
                <w:b/>
                <w:sz w:val="20"/>
                <w:szCs w:val="20"/>
              </w:rPr>
              <w:t>IF</w:t>
            </w:r>
          </w:p>
        </w:tc>
      </w:tr>
      <w:tr w:rsidR="00FA083F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7A4230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1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FA083F" w:rsidRPr="0048353F" w:rsidRDefault="0048353F" w:rsidP="0048353F">
            <w:pPr>
              <w:widowControl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 xml:space="preserve">Dobrijević D, Karaman M, Krstić T. </w:t>
            </w:r>
            <w:r w:rsidRPr="0048353F">
              <w:rPr>
                <w:rFonts w:asciiTheme="minorHAnsi" w:hAnsiTheme="minorHAnsi" w:cstheme="minorHAnsi"/>
                <w:lang/>
              </w:rPr>
              <w:t>Physicians' Personality Traits as Predictors of Empathy in the Health Context</w:t>
            </w:r>
            <w:r>
              <w:rPr>
                <w:rFonts w:asciiTheme="minorHAnsi" w:hAnsiTheme="minorHAnsi" w:cstheme="minorHAnsi"/>
                <w:lang/>
              </w:rPr>
              <w:t>. Acta Fac</w:t>
            </w:r>
            <w:r w:rsidRPr="0048353F">
              <w:rPr>
                <w:rFonts w:asciiTheme="minorHAnsi" w:hAnsiTheme="minorHAnsi" w:cstheme="minorHAnsi"/>
                <w:lang/>
              </w:rPr>
              <w:t xml:space="preserve"> </w:t>
            </w:r>
            <w:r>
              <w:rPr>
                <w:rFonts w:asciiTheme="minorHAnsi" w:hAnsiTheme="minorHAnsi" w:cstheme="minorHAnsi"/>
                <w:lang/>
              </w:rPr>
              <w:t>Med</w:t>
            </w:r>
            <w:r w:rsidRPr="0048353F">
              <w:rPr>
                <w:rFonts w:asciiTheme="minorHAnsi" w:hAnsiTheme="minorHAnsi" w:cstheme="minorHAnsi"/>
                <w:lang/>
              </w:rPr>
              <w:t xml:space="preserve"> Naiss</w:t>
            </w:r>
            <w:r>
              <w:rPr>
                <w:rFonts w:asciiTheme="minorHAnsi" w:hAnsiTheme="minorHAnsi" w:cstheme="minorHAnsi"/>
                <w:lang/>
              </w:rPr>
              <w:t>. 2025;42(2):265-74.</w:t>
            </w:r>
          </w:p>
        </w:tc>
        <w:tc>
          <w:tcPr>
            <w:tcW w:w="329" w:type="pct"/>
            <w:vAlign w:val="center"/>
          </w:tcPr>
          <w:p w:rsidR="00FA083F" w:rsidRPr="0048353F" w:rsidRDefault="004835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ESCI</w:t>
            </w:r>
          </w:p>
        </w:tc>
        <w:tc>
          <w:tcPr>
            <w:tcW w:w="329" w:type="pct"/>
            <w:vAlign w:val="center"/>
          </w:tcPr>
          <w:p w:rsidR="00FA083F" w:rsidRPr="0048353F" w:rsidRDefault="004835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/>
              </w:rPr>
              <w:t>22</w:t>
            </w:r>
          </w:p>
        </w:tc>
        <w:tc>
          <w:tcPr>
            <w:tcW w:w="325" w:type="pct"/>
            <w:vAlign w:val="center"/>
          </w:tcPr>
          <w:p w:rsidR="00FA083F" w:rsidRPr="0048353F" w:rsidRDefault="004835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0.4</w:t>
            </w:r>
          </w:p>
        </w:tc>
      </w:tr>
      <w:tr w:rsidR="00FA083F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7A4230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2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FA083F" w:rsidRPr="0048353F" w:rsidRDefault="0048353F" w:rsidP="00A67AE5">
            <w:pPr>
              <w:pStyle w:val="TableParagraph"/>
              <w:spacing w:line="276" w:lineRule="auto"/>
              <w:ind w:left="65" w:right="-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Katanić</w:t>
            </w:r>
            <w:proofErr w:type="spell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 xml:space="preserve"> J, </w:t>
            </w:r>
            <w:proofErr w:type="spell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Dobrijević</w:t>
            </w:r>
            <w:proofErr w:type="spell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 xml:space="preserve"> D. Lipid Profile Alterations in Pediatric Patients with Vitamin D Deficiency. Children (Basel). 2025 Apr 24</w:t>
            </w:r>
            <w:proofErr w:type="gram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;12</w:t>
            </w:r>
            <w:proofErr w:type="gram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(5):546.</w:t>
            </w:r>
          </w:p>
        </w:tc>
        <w:tc>
          <w:tcPr>
            <w:tcW w:w="329" w:type="pct"/>
            <w:vAlign w:val="center"/>
          </w:tcPr>
          <w:p w:rsidR="00FA083F" w:rsidRPr="0048353F" w:rsidRDefault="00FA08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FA083F" w:rsidRPr="0048353F" w:rsidRDefault="004835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25" w:type="pct"/>
            <w:vAlign w:val="center"/>
          </w:tcPr>
          <w:p w:rsidR="00FA083F" w:rsidRPr="0048353F" w:rsidRDefault="004835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</w:tr>
      <w:tr w:rsidR="00FA083F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7A4230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3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FA083F" w:rsidRPr="0048353F" w:rsidRDefault="0048353F" w:rsidP="002313CD">
            <w:pPr>
              <w:pStyle w:val="TableParagraph"/>
              <w:spacing w:line="276" w:lineRule="auto"/>
              <w:ind w:left="65" w:right="-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Vučković</w:t>
            </w:r>
            <w:proofErr w:type="spell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 xml:space="preserve"> B, </w:t>
            </w:r>
            <w:proofErr w:type="spell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Novaković</w:t>
            </w:r>
            <w:proofErr w:type="spell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 xml:space="preserve"> M, </w:t>
            </w:r>
            <w:proofErr w:type="spell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Dobrijević</w:t>
            </w:r>
            <w:proofErr w:type="spell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 xml:space="preserve"> D, </w:t>
            </w:r>
            <w:proofErr w:type="spell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Ikonov</w:t>
            </w:r>
            <w:proofErr w:type="spell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 xml:space="preserve"> S, </w:t>
            </w:r>
            <w:proofErr w:type="spell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Tubić</w:t>
            </w:r>
            <w:proofErr w:type="spell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 xml:space="preserve"> S, </w:t>
            </w:r>
            <w:proofErr w:type="spell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Jozing</w:t>
            </w:r>
            <w:proofErr w:type="spell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 xml:space="preserve"> M, </w:t>
            </w:r>
            <w:r w:rsidR="002313CD">
              <w:rPr>
                <w:rFonts w:asciiTheme="minorHAnsi" w:hAnsiTheme="minorHAnsi" w:cstheme="minorHAnsi"/>
                <w:sz w:val="20"/>
                <w:szCs w:val="20"/>
              </w:rPr>
              <w:t>et al</w:t>
            </w:r>
            <w:r w:rsidRPr="0048353F">
              <w:rPr>
                <w:rFonts w:asciiTheme="minorHAnsi" w:hAnsiTheme="minorHAnsi" w:cstheme="minorHAnsi"/>
                <w:sz w:val="20"/>
                <w:szCs w:val="20"/>
              </w:rPr>
              <w:t xml:space="preserve">. The influence of the third and fourth generation of combined oral contraceptives on hematological and </w:t>
            </w:r>
            <w:proofErr w:type="spell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hemostasis</w:t>
            </w:r>
            <w:proofErr w:type="spell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 xml:space="preserve"> parameters. </w:t>
            </w:r>
            <w:proofErr w:type="spell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Pharmazie</w:t>
            </w:r>
            <w:proofErr w:type="spell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. 2025 Mar 31</w:t>
            </w:r>
            <w:proofErr w:type="gramStart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;80</w:t>
            </w:r>
            <w:proofErr w:type="gramEnd"/>
            <w:r w:rsidRPr="0048353F">
              <w:rPr>
                <w:rFonts w:asciiTheme="minorHAnsi" w:hAnsiTheme="minorHAnsi" w:cstheme="minorHAnsi"/>
                <w:sz w:val="20"/>
                <w:szCs w:val="20"/>
              </w:rPr>
              <w:t>(1):33-37.</w:t>
            </w:r>
          </w:p>
        </w:tc>
        <w:tc>
          <w:tcPr>
            <w:tcW w:w="329" w:type="pct"/>
            <w:vAlign w:val="center"/>
          </w:tcPr>
          <w:p w:rsidR="00FA083F" w:rsidRPr="0048353F" w:rsidRDefault="00FA08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25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</w:tr>
      <w:tr w:rsidR="00FA083F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7A4230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4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FA083F" w:rsidRPr="0048353F" w:rsidRDefault="002313CD" w:rsidP="00A67AE5">
            <w:pPr>
              <w:pStyle w:val="TableParagraph"/>
              <w:spacing w:line="276" w:lineRule="auto"/>
              <w:ind w:left="65" w:right="-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Dobrijević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Vučković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Katanić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J. </w:t>
            </w:r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Urinary Biomarkers as Early Indicators of Acute Kidney Injury in Neonates with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Perinatal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Asphyxia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Acta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Fac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Med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Naiss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2025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;42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(1):5-12.</w:t>
            </w:r>
          </w:p>
        </w:tc>
        <w:tc>
          <w:tcPr>
            <w:tcW w:w="329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ESCI</w:t>
            </w:r>
          </w:p>
        </w:tc>
        <w:tc>
          <w:tcPr>
            <w:tcW w:w="329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25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0.4</w:t>
            </w:r>
          </w:p>
        </w:tc>
      </w:tr>
      <w:tr w:rsidR="00FA083F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7A4230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5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FA083F" w:rsidRPr="0048353F" w:rsidRDefault="002313CD" w:rsidP="002313CD">
            <w:pPr>
              <w:widowControl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Spasić I, Dobrijević D, Vučković B. </w:t>
            </w:r>
            <w:r w:rsidRPr="002313CD">
              <w:rPr>
                <w:rFonts w:asciiTheme="minorHAnsi" w:hAnsiTheme="minorHAnsi" w:cstheme="minorHAnsi"/>
              </w:rPr>
              <w:t>Characteristics of the Hemostasis Mechanism in Patients with Sars-Cov-2 Viral Infection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2313CD">
              <w:rPr>
                <w:rFonts w:asciiTheme="minorHAnsi" w:hAnsiTheme="minorHAnsi" w:cstheme="minorHAnsi"/>
              </w:rPr>
              <w:t>. Acta Fac Med Naiss. 202</w:t>
            </w:r>
            <w:r>
              <w:rPr>
                <w:rFonts w:asciiTheme="minorHAnsi" w:hAnsiTheme="minorHAnsi" w:cstheme="minorHAnsi"/>
              </w:rPr>
              <w:t>4</w:t>
            </w:r>
            <w:r w:rsidRPr="002313CD">
              <w:rPr>
                <w:rFonts w:asciiTheme="minorHAnsi" w:hAnsiTheme="minorHAnsi" w:cstheme="minorHAnsi"/>
              </w:rPr>
              <w:t>;</w:t>
            </w:r>
            <w:r>
              <w:rPr>
                <w:rFonts w:asciiTheme="minorHAnsi" w:hAnsiTheme="minorHAnsi" w:cstheme="minorHAnsi"/>
              </w:rPr>
              <w:t>41(4):528-35.</w:t>
            </w:r>
          </w:p>
        </w:tc>
        <w:tc>
          <w:tcPr>
            <w:tcW w:w="329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ESCI</w:t>
            </w:r>
          </w:p>
        </w:tc>
        <w:tc>
          <w:tcPr>
            <w:tcW w:w="329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25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0.4</w:t>
            </w:r>
          </w:p>
        </w:tc>
      </w:tr>
      <w:tr w:rsidR="00FA083F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7A4230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6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FA083F" w:rsidRPr="0048353F" w:rsidRDefault="002313CD" w:rsidP="002313CD">
            <w:pPr>
              <w:pStyle w:val="TableParagraph"/>
              <w:spacing w:line="276" w:lineRule="auto"/>
              <w:ind w:left="65" w:right="-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Uram-Benka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A,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Fabri-Galambo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I,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Pandurov-Brlić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M,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Rakić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G,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Bošković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N,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Uram-Dubovski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J,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Antić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J,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Dobrijević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D. Optimizing Newborn Outcomes in Cesarean Sections: A Comparative Analysis of Stress Indicators under General and Spinal Anesthesia. Children (Basel). 2024 Jun 27</w:t>
            </w:r>
            <w:proofErr w:type="gram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;11</w:t>
            </w:r>
            <w:proofErr w:type="gram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(7):783.</w:t>
            </w:r>
          </w:p>
        </w:tc>
        <w:tc>
          <w:tcPr>
            <w:tcW w:w="329" w:type="pct"/>
            <w:vAlign w:val="center"/>
          </w:tcPr>
          <w:p w:rsidR="00FA083F" w:rsidRPr="0048353F" w:rsidRDefault="00FA08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25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2.6</w:t>
            </w:r>
          </w:p>
        </w:tc>
      </w:tr>
      <w:tr w:rsidR="00FA083F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7A4230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7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FA083F" w:rsidRPr="0048353F" w:rsidRDefault="002313CD" w:rsidP="00A67AE5">
            <w:pPr>
              <w:pStyle w:val="TableParagraph"/>
              <w:spacing w:line="276" w:lineRule="auto"/>
              <w:ind w:left="65" w:right="-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Dobrijević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D,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Antić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J,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Rakić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G,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Andrijević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L. Platelet indices in children with type 1 diabetes mellitus: a simple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glucoregulation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monitoring tool. </w:t>
            </w:r>
            <w:proofErr w:type="spellStart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Afr</w:t>
            </w:r>
            <w:proofErr w:type="spellEnd"/>
            <w:r w:rsidRPr="002313CD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ealth Sci. 2023 Dec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;23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(4):333-</w:t>
            </w:r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329" w:type="pct"/>
            <w:vAlign w:val="center"/>
          </w:tcPr>
          <w:p w:rsidR="00FA083F" w:rsidRPr="0048353F" w:rsidRDefault="00FA08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25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525"/>
            </w:tblGrid>
            <w:tr w:rsidR="002313CD" w:rsidRPr="002313CD" w:rsidTr="002313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13CD" w:rsidRPr="002313CD" w:rsidRDefault="002313CD" w:rsidP="002313CD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3CD" w:rsidRPr="002313CD" w:rsidRDefault="002313CD" w:rsidP="002313CD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lang w:val="en-US" w:eastAsia="en-US"/>
                    </w:rPr>
                  </w:pPr>
                  <w:r w:rsidRPr="002313CD">
                    <w:rPr>
                      <w:rFonts w:eastAsia="Times New Roman"/>
                      <w:lang w:val="en-US" w:eastAsia="en-US"/>
                    </w:rPr>
                    <w:t>1.587</w:t>
                  </w:r>
                </w:p>
              </w:tc>
            </w:tr>
          </w:tbl>
          <w:p w:rsidR="00FA083F" w:rsidRPr="0048353F" w:rsidRDefault="00FA08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083F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7A4230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8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FA083F" w:rsidRPr="0048353F" w:rsidRDefault="002313CD" w:rsidP="00A67AE5">
            <w:pPr>
              <w:widowControl/>
              <w:rPr>
                <w:rFonts w:asciiTheme="minorHAnsi" w:hAnsiTheme="minorHAnsi" w:cstheme="minorHAnsi"/>
              </w:rPr>
            </w:pPr>
            <w:r w:rsidRPr="002313CD">
              <w:rPr>
                <w:rFonts w:asciiTheme="minorHAnsi" w:hAnsiTheme="minorHAnsi" w:cstheme="minorHAnsi"/>
              </w:rPr>
              <w:t>Dobrijević D, Vilotijević-Dautović G, Katanić J, Horvat M, Horvat Z, Pastor K. Rapid Triage of Children with Suspected COVID-19 Using Laboratory-Based Machine-Learning Algorithms. Viruses. 2023 Jul 8;15(7):1522.</w:t>
            </w:r>
          </w:p>
        </w:tc>
        <w:tc>
          <w:tcPr>
            <w:tcW w:w="329" w:type="pct"/>
            <w:vAlign w:val="center"/>
          </w:tcPr>
          <w:p w:rsidR="00FA083F" w:rsidRPr="0048353F" w:rsidRDefault="00FA08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25" w:type="pct"/>
            <w:vAlign w:val="center"/>
          </w:tcPr>
          <w:p w:rsidR="00FA083F" w:rsidRPr="0048353F" w:rsidRDefault="002313CD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13CD">
              <w:rPr>
                <w:rFonts w:asciiTheme="minorHAnsi" w:hAnsiTheme="minorHAnsi" w:cstheme="minorHAnsi"/>
                <w:sz w:val="20"/>
                <w:szCs w:val="20"/>
              </w:rPr>
              <w:t>5.818</w:t>
            </w:r>
          </w:p>
        </w:tc>
      </w:tr>
      <w:tr w:rsidR="00FA083F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7A4230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lastRenderedPageBreak/>
              <w:t>9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FA083F" w:rsidRPr="0048353F" w:rsidRDefault="00820586" w:rsidP="00820586">
            <w:pPr>
              <w:pStyle w:val="TableParagraph"/>
              <w:spacing w:line="276" w:lineRule="auto"/>
              <w:ind w:left="65" w:right="-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Dobrijević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D, Pastor K,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Nastić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N,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Özogul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F,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Krulj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J, </w:t>
            </w:r>
            <w:proofErr w:type="spellStart"/>
            <w:proofErr w:type="gram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Kokić</w:t>
            </w:r>
            <w:proofErr w:type="spellEnd"/>
            <w:proofErr w:type="gram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B,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et al</w:t>
            </w:r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Betaine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as a Functional Ingredient: Metabolism, Health-Promoting Attributes, Food Sources, Applications and Analysis Methods. Molecules. 2023 Jun 17</w:t>
            </w:r>
            <w:proofErr w:type="gram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;28</w:t>
            </w:r>
            <w:proofErr w:type="gram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(12):4824.</w:t>
            </w:r>
          </w:p>
        </w:tc>
        <w:tc>
          <w:tcPr>
            <w:tcW w:w="329" w:type="pct"/>
            <w:vAlign w:val="center"/>
          </w:tcPr>
          <w:p w:rsidR="00FA083F" w:rsidRPr="0048353F" w:rsidRDefault="00FA08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FA083F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25" w:type="pct"/>
            <w:vAlign w:val="center"/>
          </w:tcPr>
          <w:p w:rsidR="00FA083F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5.110</w:t>
            </w:r>
          </w:p>
        </w:tc>
      </w:tr>
      <w:tr w:rsidR="00FA083F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7A4230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10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FA083F" w:rsidRPr="0048353F" w:rsidRDefault="00820586" w:rsidP="00A67AE5">
            <w:pPr>
              <w:widowControl/>
              <w:rPr>
                <w:rFonts w:asciiTheme="minorHAnsi" w:hAnsiTheme="minorHAnsi" w:cstheme="minorHAnsi"/>
              </w:rPr>
            </w:pPr>
            <w:r w:rsidRPr="00820586">
              <w:rPr>
                <w:rFonts w:asciiTheme="minorHAnsi" w:hAnsiTheme="minorHAnsi" w:cstheme="minorHAnsi"/>
              </w:rPr>
              <w:t>Dobrijević D, Antić J, Rakić G, Katanić J, Andrijević L, Pastor K. Clinical Hematochemical Parameters in Differential Diagnosis between Pediatric SARS-CoV-2 and Influenza Virus Infection: An Automated Machine Learning Approach. Children (Basel). 2023 Apr 22;10(5):761.</w:t>
            </w:r>
          </w:p>
        </w:tc>
        <w:tc>
          <w:tcPr>
            <w:tcW w:w="329" w:type="pct"/>
            <w:vAlign w:val="center"/>
          </w:tcPr>
          <w:p w:rsidR="00FA083F" w:rsidRPr="0048353F" w:rsidRDefault="00FA08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FA083F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25" w:type="pct"/>
            <w:vAlign w:val="center"/>
          </w:tcPr>
          <w:p w:rsidR="00FA083F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3.328</w:t>
            </w:r>
          </w:p>
        </w:tc>
      </w:tr>
      <w:tr w:rsidR="00FA083F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FA083F" w:rsidRPr="0048353F" w:rsidRDefault="00A67AE5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11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FA083F" w:rsidRPr="0048353F" w:rsidRDefault="00820586" w:rsidP="00820586">
            <w:pPr>
              <w:widowControl/>
              <w:rPr>
                <w:rFonts w:asciiTheme="minorHAnsi" w:hAnsiTheme="minorHAnsi" w:cstheme="minorHAnsi"/>
              </w:rPr>
            </w:pPr>
            <w:r w:rsidRPr="00820586">
              <w:rPr>
                <w:rFonts w:asciiTheme="minorHAnsi" w:hAnsiTheme="minorHAnsi" w:cstheme="minorHAnsi"/>
              </w:rPr>
              <w:t xml:space="preserve">Rakić G, Dobrijević D, Uram-Benka A, Antić J, Uram-Dubovski J, Andrijević L, </w:t>
            </w:r>
            <w:r>
              <w:rPr>
                <w:rFonts w:asciiTheme="minorHAnsi" w:hAnsiTheme="minorHAnsi" w:cstheme="minorHAnsi"/>
              </w:rPr>
              <w:t>etal</w:t>
            </w:r>
            <w:r w:rsidRPr="00820586">
              <w:rPr>
                <w:rFonts w:asciiTheme="minorHAnsi" w:hAnsiTheme="minorHAnsi" w:cstheme="minorHAnsi"/>
              </w:rPr>
              <w:t xml:space="preserve">. Do Delivery Mode and Anesthesia Management Alter Redox Setting in Neonates? Z Geburtshilfe </w:t>
            </w:r>
            <w:r>
              <w:rPr>
                <w:rFonts w:asciiTheme="minorHAnsi" w:hAnsiTheme="minorHAnsi" w:cstheme="minorHAnsi"/>
              </w:rPr>
              <w:t>Neonatol. 2023 Aug;227(4):281-</w:t>
            </w:r>
            <w:r w:rsidRPr="0082058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29" w:type="pct"/>
            <w:vAlign w:val="center"/>
          </w:tcPr>
          <w:p w:rsidR="00FA083F" w:rsidRPr="0048353F" w:rsidRDefault="00FA083F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FA083F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25" w:type="pct"/>
            <w:vAlign w:val="center"/>
          </w:tcPr>
          <w:p w:rsidR="00FA083F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0.7</w:t>
            </w:r>
          </w:p>
        </w:tc>
      </w:tr>
      <w:tr w:rsidR="00A67AE5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A67AE5" w:rsidRPr="0048353F" w:rsidRDefault="00A67AE5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12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A67AE5" w:rsidRPr="0048353F" w:rsidRDefault="00820586" w:rsidP="00A67AE5">
            <w:pPr>
              <w:pStyle w:val="TableParagraph"/>
              <w:spacing w:line="276" w:lineRule="auto"/>
              <w:ind w:left="65" w:right="-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Dobrijević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D,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Andrijević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L,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Antić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J,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Rakić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G, Pastor K.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Hemogram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-based decision tree models for discriminating COVID-19 from RSV in infants. J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Clin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Lab Anal. 2023 Mar</w:t>
            </w:r>
            <w:proofErr w:type="gram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;37</w:t>
            </w:r>
            <w:proofErr w:type="gram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(6):e24862.</w:t>
            </w:r>
          </w:p>
        </w:tc>
        <w:tc>
          <w:tcPr>
            <w:tcW w:w="329" w:type="pct"/>
            <w:vAlign w:val="center"/>
          </w:tcPr>
          <w:p w:rsidR="00A67AE5" w:rsidRPr="0048353F" w:rsidRDefault="00A67AE5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A67AE5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25" w:type="pct"/>
            <w:vAlign w:val="center"/>
          </w:tcPr>
          <w:p w:rsidR="00A67AE5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3.124</w:t>
            </w:r>
          </w:p>
        </w:tc>
      </w:tr>
      <w:tr w:rsidR="00A67AE5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A67AE5" w:rsidRPr="0048353F" w:rsidRDefault="00A67AE5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13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A67AE5" w:rsidRPr="0048353F" w:rsidRDefault="00820586" w:rsidP="00A67AE5">
            <w:pPr>
              <w:pStyle w:val="TableParagraph"/>
              <w:spacing w:line="276" w:lineRule="auto"/>
              <w:ind w:left="65" w:right="-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Dobrijević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Kaćanski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Radenović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Katanić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Kolarović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J.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Pseudothrombocytopenia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Induced by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Ethylenediaminetetraacetic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Acid: A Case Report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Acta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Fac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Med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Naiss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2022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;39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(4):491-5.</w:t>
            </w:r>
          </w:p>
        </w:tc>
        <w:tc>
          <w:tcPr>
            <w:tcW w:w="329" w:type="pct"/>
            <w:vAlign w:val="center"/>
          </w:tcPr>
          <w:p w:rsidR="00A67AE5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ESCI</w:t>
            </w:r>
          </w:p>
        </w:tc>
        <w:tc>
          <w:tcPr>
            <w:tcW w:w="329" w:type="pct"/>
            <w:vAlign w:val="center"/>
          </w:tcPr>
          <w:p w:rsidR="00A67AE5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25" w:type="pct"/>
            <w:vAlign w:val="center"/>
          </w:tcPr>
          <w:p w:rsidR="00A67AE5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0.2</w:t>
            </w:r>
          </w:p>
        </w:tc>
      </w:tr>
      <w:tr w:rsidR="00A67AE5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A67AE5" w:rsidRPr="0048353F" w:rsidRDefault="00A67AE5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14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A67AE5" w:rsidRPr="0048353F" w:rsidRDefault="00820586" w:rsidP="00A67AE5">
            <w:pPr>
              <w:pStyle w:val="TableParagraph"/>
              <w:spacing w:line="276" w:lineRule="auto"/>
              <w:ind w:left="65" w:right="-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Dobrijević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D,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Antić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J,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Rakić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G,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Andrijević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L,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Katanić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J, Pastor K. Could platelet indices have diagnostic properties in children with COVID-19? J </w:t>
            </w:r>
            <w:proofErr w:type="spell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Clin</w:t>
            </w:r>
            <w:proofErr w:type="spell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 xml:space="preserve"> Lab Anal. 2022 Dec</w:t>
            </w:r>
            <w:proofErr w:type="gramStart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;36</w:t>
            </w:r>
            <w:proofErr w:type="gramEnd"/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(12):e24749.</w:t>
            </w:r>
          </w:p>
        </w:tc>
        <w:tc>
          <w:tcPr>
            <w:tcW w:w="329" w:type="pct"/>
            <w:vAlign w:val="center"/>
          </w:tcPr>
          <w:p w:rsidR="00A67AE5" w:rsidRPr="0048353F" w:rsidRDefault="00A67AE5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A67AE5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25" w:type="pct"/>
            <w:vAlign w:val="center"/>
          </w:tcPr>
          <w:p w:rsidR="00A67AE5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3.124</w:t>
            </w:r>
          </w:p>
        </w:tc>
      </w:tr>
      <w:tr w:rsidR="00A67AE5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A67AE5" w:rsidRPr="0048353F" w:rsidRDefault="00A67AE5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15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A67AE5" w:rsidRPr="0048353F" w:rsidRDefault="00820586" w:rsidP="00A67AE5">
            <w:pPr>
              <w:widowControl/>
              <w:rPr>
                <w:rFonts w:asciiTheme="minorHAnsi" w:hAnsiTheme="minorHAnsi" w:cstheme="minorHAnsi"/>
              </w:rPr>
            </w:pPr>
            <w:r w:rsidRPr="00820586">
              <w:rPr>
                <w:rFonts w:asciiTheme="minorHAnsi" w:hAnsiTheme="minorHAnsi" w:cstheme="minorHAnsi"/>
              </w:rPr>
              <w:t>Dobrijević D, Katanić J, Todorović M, Vučković B. Baseline laboratory parameters for preliminary diagnosis of COVID-19 among children: a cross-sectional study. Sao Paulo Med J. 2022 Sep-</w:t>
            </w:r>
            <w:r>
              <w:rPr>
                <w:rFonts w:asciiTheme="minorHAnsi" w:hAnsiTheme="minorHAnsi" w:cstheme="minorHAnsi"/>
              </w:rPr>
              <w:t>Oct;140(5):691-</w:t>
            </w:r>
            <w:r w:rsidRPr="0082058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29" w:type="pct"/>
            <w:vAlign w:val="center"/>
          </w:tcPr>
          <w:p w:rsidR="00A67AE5" w:rsidRPr="0048353F" w:rsidRDefault="00A67AE5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A67AE5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25" w:type="pct"/>
            <w:vAlign w:val="center"/>
          </w:tcPr>
          <w:p w:rsidR="00A67AE5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0586">
              <w:rPr>
                <w:rFonts w:asciiTheme="minorHAnsi" w:hAnsiTheme="minorHAnsi" w:cstheme="minorHAnsi"/>
                <w:sz w:val="20"/>
                <w:szCs w:val="20"/>
              </w:rPr>
              <w:t>1.838</w:t>
            </w:r>
          </w:p>
        </w:tc>
      </w:tr>
      <w:tr w:rsidR="00A67AE5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A67AE5" w:rsidRPr="0048353F" w:rsidRDefault="00A67AE5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16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A67AE5" w:rsidRPr="0048353F" w:rsidRDefault="00820586" w:rsidP="00A67AE5">
            <w:pPr>
              <w:widowControl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Rakić G, Uram Benka A, Fabri Galamboš I, Dobrijević D, Uram Dubovski J, Drašković B. </w:t>
            </w:r>
            <w:r w:rsidRPr="00820586">
              <w:rPr>
                <w:rFonts w:asciiTheme="minorHAnsi" w:hAnsiTheme="minorHAnsi" w:cstheme="minorHAnsi"/>
                <w:lang w:val="de-DE"/>
              </w:rPr>
              <w:t>Relationship between Maternal Pregestational Body Mass Index and Neonatal Oxidative Stress</w:t>
            </w:r>
            <w:r>
              <w:rPr>
                <w:rFonts w:asciiTheme="minorHAnsi" w:hAnsiTheme="minorHAnsi" w:cstheme="minorHAnsi"/>
                <w:lang w:val="de-DE"/>
              </w:rPr>
              <w:t>. Progr Nutr. 2021;23(4).</w:t>
            </w:r>
          </w:p>
        </w:tc>
        <w:tc>
          <w:tcPr>
            <w:tcW w:w="329" w:type="pct"/>
            <w:vAlign w:val="center"/>
          </w:tcPr>
          <w:p w:rsidR="00A67AE5" w:rsidRPr="0048353F" w:rsidRDefault="00A67AE5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329" w:type="pct"/>
            <w:vAlign w:val="center"/>
          </w:tcPr>
          <w:p w:rsidR="00A67AE5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23</w:t>
            </w:r>
          </w:p>
        </w:tc>
        <w:tc>
          <w:tcPr>
            <w:tcW w:w="325" w:type="pct"/>
            <w:vAlign w:val="center"/>
          </w:tcPr>
          <w:p w:rsidR="00A67AE5" w:rsidRPr="0048353F" w:rsidRDefault="00820586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820586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0.637</w:t>
            </w:r>
          </w:p>
        </w:tc>
      </w:tr>
      <w:tr w:rsidR="00A67AE5" w:rsidRPr="0048353F" w:rsidTr="0048353F">
        <w:trPr>
          <w:trHeight w:val="227"/>
          <w:jc w:val="center"/>
        </w:trPr>
        <w:tc>
          <w:tcPr>
            <w:tcW w:w="297" w:type="pct"/>
            <w:vAlign w:val="center"/>
          </w:tcPr>
          <w:p w:rsidR="00A67AE5" w:rsidRPr="0048353F" w:rsidRDefault="00A67AE5" w:rsidP="00417E8C">
            <w:pPr>
              <w:spacing w:line="276" w:lineRule="auto"/>
              <w:ind w:left="-23"/>
              <w:jc w:val="center"/>
              <w:rPr>
                <w:rFonts w:asciiTheme="minorHAnsi" w:hAnsiTheme="minorHAnsi" w:cstheme="minorHAnsi"/>
              </w:rPr>
            </w:pPr>
            <w:r w:rsidRPr="0048353F">
              <w:rPr>
                <w:rFonts w:asciiTheme="minorHAnsi" w:hAnsiTheme="minorHAnsi" w:cstheme="minorHAnsi"/>
              </w:rPr>
              <w:t>17</w:t>
            </w:r>
            <w:r w:rsidR="0082058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0" w:type="pct"/>
            <w:gridSpan w:val="10"/>
          </w:tcPr>
          <w:p w:rsidR="00A67AE5" w:rsidRPr="0048353F" w:rsidRDefault="00AB57C3" w:rsidP="00AB57C3">
            <w:pPr>
              <w:widowControl/>
              <w:rPr>
                <w:rFonts w:asciiTheme="minorHAnsi" w:hAnsiTheme="minorHAnsi" w:cstheme="minorHAnsi"/>
              </w:rPr>
            </w:pPr>
            <w:r w:rsidRPr="00AB57C3">
              <w:rPr>
                <w:rFonts w:asciiTheme="minorHAnsi" w:hAnsiTheme="minorHAnsi" w:cstheme="minorHAnsi"/>
              </w:rPr>
              <w:t xml:space="preserve">Antić J, Jokić R, Bukarica S, Lukić I, Dobrijević D, Rakić G, </w:t>
            </w:r>
            <w:r>
              <w:rPr>
                <w:rFonts w:asciiTheme="minorHAnsi" w:hAnsiTheme="minorHAnsi" w:cstheme="minorHAnsi"/>
              </w:rPr>
              <w:t>et al</w:t>
            </w:r>
            <w:r w:rsidRPr="00AB57C3">
              <w:rPr>
                <w:rFonts w:asciiTheme="minorHAnsi" w:hAnsiTheme="minorHAnsi" w:cstheme="minorHAnsi"/>
              </w:rPr>
              <w:t>. Predictive Value of Red Blood Cell Distribution Width, Mean Platelet Volume and Platelet Distribution Width in Children with Acute Appendicitis. Children (Basel). 2021 Nov 11;8(11):1041.</w:t>
            </w:r>
          </w:p>
        </w:tc>
        <w:tc>
          <w:tcPr>
            <w:tcW w:w="329" w:type="pct"/>
            <w:vAlign w:val="center"/>
          </w:tcPr>
          <w:p w:rsidR="00A67AE5" w:rsidRPr="0048353F" w:rsidRDefault="00A67AE5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CS"/>
              </w:rPr>
            </w:pPr>
          </w:p>
        </w:tc>
        <w:tc>
          <w:tcPr>
            <w:tcW w:w="329" w:type="pct"/>
            <w:vAlign w:val="center"/>
          </w:tcPr>
          <w:p w:rsidR="00A67AE5" w:rsidRPr="0048353F" w:rsidRDefault="00AB57C3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25" w:type="pct"/>
            <w:vAlign w:val="center"/>
          </w:tcPr>
          <w:p w:rsidR="00A67AE5" w:rsidRPr="0048353F" w:rsidRDefault="00AB57C3" w:rsidP="0048353F">
            <w:pPr>
              <w:pStyle w:val="TableParagraph"/>
              <w:spacing w:before="8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57C3">
              <w:rPr>
                <w:rFonts w:asciiTheme="minorHAnsi" w:hAnsiTheme="minorHAnsi" w:cstheme="minorHAnsi"/>
                <w:sz w:val="20"/>
                <w:szCs w:val="20"/>
              </w:rPr>
              <w:t>3.328</w:t>
            </w:r>
          </w:p>
        </w:tc>
      </w:tr>
      <w:tr w:rsidR="00FA083F" w:rsidRPr="0048353F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A083F" w:rsidRPr="0048353F" w:rsidRDefault="00FA083F" w:rsidP="008E1BFA">
            <w:pPr>
              <w:spacing w:after="60"/>
              <w:rPr>
                <w:rFonts w:asciiTheme="minorHAnsi" w:hAnsiTheme="minorHAnsi" w:cstheme="minorHAnsi"/>
                <w:b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FA083F" w:rsidRPr="0048353F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A083F" w:rsidRPr="0048353F" w:rsidRDefault="00FA083F" w:rsidP="008E1BFA">
            <w:pPr>
              <w:spacing w:after="60"/>
              <w:rPr>
                <w:rFonts w:asciiTheme="minorHAnsi" w:hAnsiTheme="minorHAnsi" w:cstheme="minorHAnsi"/>
                <w:b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 xml:space="preserve">Збирни подаци </w:t>
            </w:r>
            <w:r w:rsidRPr="0048353F">
              <w:rPr>
                <w:rFonts w:asciiTheme="minorHAnsi" w:hAnsiTheme="minorHAnsi" w:cstheme="minorHAnsi"/>
                <w:b/>
              </w:rPr>
              <w:t xml:space="preserve">уметничке </w:t>
            </w:r>
            <w:r w:rsidRPr="0048353F">
              <w:rPr>
                <w:rFonts w:asciiTheme="minorHAnsi" w:hAnsiTheme="minorHAnsi" w:cstheme="minorHAnsi"/>
                <w:b/>
                <w:lang w:val="sr-Cyrl-CS"/>
              </w:rPr>
              <w:t xml:space="preserve"> активност наставника</w:t>
            </w:r>
          </w:p>
        </w:tc>
      </w:tr>
      <w:tr w:rsidR="00FA083F" w:rsidRPr="0048353F" w:rsidTr="001D0E91">
        <w:trPr>
          <w:trHeight w:val="227"/>
          <w:jc w:val="center"/>
        </w:trPr>
        <w:tc>
          <w:tcPr>
            <w:tcW w:w="2686" w:type="pct"/>
            <w:gridSpan w:val="6"/>
            <w:vAlign w:val="center"/>
          </w:tcPr>
          <w:p w:rsidR="00FA083F" w:rsidRPr="0048353F" w:rsidRDefault="00FA083F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Укупан број цитата, без аутоцитата</w:t>
            </w:r>
          </w:p>
        </w:tc>
        <w:tc>
          <w:tcPr>
            <w:tcW w:w="2314" w:type="pct"/>
            <w:gridSpan w:val="8"/>
            <w:vAlign w:val="center"/>
          </w:tcPr>
          <w:p w:rsidR="00FA083F" w:rsidRPr="0048353F" w:rsidRDefault="0048353F" w:rsidP="008E1BFA">
            <w:pPr>
              <w:spacing w:after="60"/>
              <w:rPr>
                <w:rFonts w:asciiTheme="minorHAnsi" w:hAnsiTheme="minorHAnsi" w:cstheme="minorHAnsi"/>
                <w:b/>
                <w:lang/>
              </w:rPr>
            </w:pPr>
            <w:r>
              <w:rPr>
                <w:rFonts w:asciiTheme="minorHAnsi" w:hAnsiTheme="minorHAnsi" w:cstheme="minorHAnsi"/>
                <w:b/>
                <w:lang/>
              </w:rPr>
              <w:t>173</w:t>
            </w:r>
          </w:p>
        </w:tc>
      </w:tr>
      <w:tr w:rsidR="00FA083F" w:rsidRPr="0048353F" w:rsidTr="001D0E91">
        <w:trPr>
          <w:trHeight w:val="227"/>
          <w:jc w:val="center"/>
        </w:trPr>
        <w:tc>
          <w:tcPr>
            <w:tcW w:w="2686" w:type="pct"/>
            <w:gridSpan w:val="6"/>
            <w:vAlign w:val="center"/>
          </w:tcPr>
          <w:p w:rsidR="00FA083F" w:rsidRPr="0048353F" w:rsidRDefault="00FA083F" w:rsidP="008E1BFA">
            <w:pPr>
              <w:spacing w:after="60"/>
              <w:rPr>
                <w:rFonts w:asciiTheme="minorHAnsi" w:hAnsiTheme="minorHAnsi" w:cstheme="minorHAnsi"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Укупан број радова са SCI (или SSCI) листе</w:t>
            </w:r>
          </w:p>
        </w:tc>
        <w:tc>
          <w:tcPr>
            <w:tcW w:w="2314" w:type="pct"/>
            <w:gridSpan w:val="8"/>
            <w:vAlign w:val="center"/>
          </w:tcPr>
          <w:p w:rsidR="00FA083F" w:rsidRPr="0048353F" w:rsidRDefault="001D0E91" w:rsidP="008E1BFA">
            <w:pPr>
              <w:spacing w:after="60"/>
              <w:rPr>
                <w:rFonts w:asciiTheme="minorHAnsi" w:hAnsiTheme="minorHAnsi" w:cstheme="minorHAnsi"/>
                <w:b/>
                <w:lang/>
              </w:rPr>
            </w:pPr>
            <w:r w:rsidRPr="0048353F">
              <w:rPr>
                <w:rFonts w:asciiTheme="minorHAnsi" w:hAnsiTheme="minorHAnsi" w:cstheme="minorHAnsi"/>
                <w:b/>
                <w:lang/>
              </w:rPr>
              <w:t>17</w:t>
            </w:r>
          </w:p>
        </w:tc>
      </w:tr>
      <w:tr w:rsidR="00FA083F" w:rsidRPr="0048353F" w:rsidTr="001D0E91">
        <w:trPr>
          <w:trHeight w:val="227"/>
          <w:jc w:val="center"/>
        </w:trPr>
        <w:tc>
          <w:tcPr>
            <w:tcW w:w="2686" w:type="pct"/>
            <w:gridSpan w:val="6"/>
            <w:vAlign w:val="center"/>
          </w:tcPr>
          <w:p w:rsidR="00FA083F" w:rsidRPr="0048353F" w:rsidRDefault="00FA083F" w:rsidP="008E1BFA">
            <w:pPr>
              <w:spacing w:after="60"/>
              <w:rPr>
                <w:rFonts w:asciiTheme="minorHAnsi" w:hAnsiTheme="minorHAnsi" w:cstheme="minorHAnsi"/>
                <w:b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Тренутно учешће на пројектима</w:t>
            </w:r>
          </w:p>
        </w:tc>
        <w:tc>
          <w:tcPr>
            <w:tcW w:w="1001" w:type="pct"/>
            <w:gridSpan w:val="3"/>
            <w:vAlign w:val="center"/>
          </w:tcPr>
          <w:p w:rsidR="00FA083F" w:rsidRPr="0048353F" w:rsidRDefault="00FA083F" w:rsidP="008E1BFA">
            <w:pPr>
              <w:spacing w:after="60"/>
              <w:rPr>
                <w:rFonts w:asciiTheme="minorHAnsi" w:hAnsiTheme="minorHAnsi" w:cstheme="minorHAnsi"/>
                <w:b/>
                <w:lang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Домаћи</w:t>
            </w:r>
            <w:r w:rsidR="001D0E91" w:rsidRPr="0048353F">
              <w:rPr>
                <w:rFonts w:asciiTheme="minorHAnsi" w:hAnsiTheme="minorHAnsi" w:cstheme="minorHAnsi"/>
                <w:lang/>
              </w:rPr>
              <w:t xml:space="preserve"> 0</w:t>
            </w:r>
          </w:p>
        </w:tc>
        <w:tc>
          <w:tcPr>
            <w:tcW w:w="1313" w:type="pct"/>
            <w:gridSpan w:val="5"/>
            <w:vAlign w:val="center"/>
          </w:tcPr>
          <w:p w:rsidR="00FA083F" w:rsidRPr="0048353F" w:rsidRDefault="00FA083F" w:rsidP="008E1BFA">
            <w:pPr>
              <w:spacing w:after="60"/>
              <w:rPr>
                <w:rFonts w:asciiTheme="minorHAnsi" w:hAnsiTheme="minorHAnsi" w:cstheme="minorHAnsi"/>
                <w:b/>
                <w:lang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Међународни</w:t>
            </w:r>
            <w:r w:rsidR="001D0E91" w:rsidRPr="0048353F">
              <w:rPr>
                <w:rFonts w:asciiTheme="minorHAnsi" w:hAnsiTheme="minorHAnsi" w:cstheme="minorHAnsi"/>
                <w:lang/>
              </w:rPr>
              <w:t xml:space="preserve"> 6</w:t>
            </w:r>
          </w:p>
        </w:tc>
      </w:tr>
      <w:tr w:rsidR="001D0E91" w:rsidRPr="0048353F" w:rsidTr="001D0E91">
        <w:trPr>
          <w:trHeight w:val="227"/>
          <w:jc w:val="center"/>
        </w:trPr>
        <w:tc>
          <w:tcPr>
            <w:tcW w:w="2686" w:type="pct"/>
            <w:gridSpan w:val="6"/>
            <w:vAlign w:val="center"/>
          </w:tcPr>
          <w:p w:rsidR="001D0E91" w:rsidRPr="0048353F" w:rsidRDefault="001D0E91" w:rsidP="008E1BFA">
            <w:pPr>
              <w:spacing w:after="60"/>
              <w:rPr>
                <w:rFonts w:asciiTheme="minorHAnsi" w:hAnsiTheme="minorHAnsi" w:cstheme="minorHAnsi"/>
                <w:b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Усавршавања</w:t>
            </w:r>
          </w:p>
        </w:tc>
        <w:tc>
          <w:tcPr>
            <w:tcW w:w="2314" w:type="pct"/>
            <w:gridSpan w:val="8"/>
            <w:vAlign w:val="center"/>
          </w:tcPr>
          <w:p w:rsidR="001D0E91" w:rsidRPr="0048353F" w:rsidRDefault="001D0E91" w:rsidP="008E1BFA">
            <w:pPr>
              <w:spacing w:after="60"/>
              <w:rPr>
                <w:rFonts w:asciiTheme="minorHAnsi" w:hAnsiTheme="minorHAnsi" w:cstheme="minorHAnsi"/>
                <w:b/>
                <w:lang w:val="sr-Cyrl-CS"/>
              </w:rPr>
            </w:pPr>
            <w:bookmarkStart w:id="0" w:name="_GoBack"/>
            <w:r w:rsidRPr="0048353F">
              <w:rPr>
                <w:rFonts w:asciiTheme="minorHAnsi" w:hAnsiTheme="minorHAnsi" w:cstheme="minorHAnsi"/>
                <w:b/>
                <w:lang w:val="sr-Cyrl-CS"/>
              </w:rPr>
              <w:t xml:space="preserve">2025. Faculdade de Ciências e Tecnologia da Universidade NOVA de Lisboa, Portugal </w:t>
            </w:r>
          </w:p>
          <w:p w:rsidR="001D0E91" w:rsidRPr="0048353F" w:rsidRDefault="001D0E91" w:rsidP="008E1BFA">
            <w:pPr>
              <w:spacing w:after="60"/>
              <w:rPr>
                <w:rFonts w:asciiTheme="minorHAnsi" w:hAnsiTheme="minorHAnsi" w:cstheme="minorHAnsi"/>
                <w:b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 xml:space="preserve">2024. Universitätsklinikum Hamburg-Eppendorf, Deutschland </w:t>
            </w:r>
          </w:p>
          <w:p w:rsidR="001D0E91" w:rsidRPr="0048353F" w:rsidRDefault="001D0E91" w:rsidP="008E1BFA">
            <w:pPr>
              <w:spacing w:after="60"/>
              <w:rPr>
                <w:rFonts w:asciiTheme="minorHAnsi" w:hAnsiTheme="minorHAnsi" w:cstheme="minorHAnsi"/>
                <w:b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 xml:space="preserve">2022. Hospital Universitario de Bellvitge, L'Hospitalet de Llobregat, Barcelona, España </w:t>
            </w:r>
          </w:p>
          <w:p w:rsidR="001D0E91" w:rsidRPr="0048353F" w:rsidRDefault="001D0E91" w:rsidP="008E1BFA">
            <w:pPr>
              <w:spacing w:after="60"/>
              <w:rPr>
                <w:rFonts w:asciiTheme="minorHAnsi" w:hAnsiTheme="minorHAnsi" w:cstheme="minorHAnsi"/>
                <w:b/>
                <w:lang w:val="sr-Cyrl-CS"/>
              </w:rPr>
            </w:pPr>
            <w:r w:rsidRPr="0048353F">
              <w:rPr>
                <w:rFonts w:asciiTheme="minorHAnsi" w:hAnsiTheme="minorHAnsi" w:cstheme="minorHAnsi"/>
                <w:b/>
                <w:lang w:val="sr-Cyrl-CS"/>
              </w:rPr>
              <w:t>2021. Friedrich-Schiller-Universität, Jena, Deutschland</w:t>
            </w:r>
            <w:bookmarkEnd w:id="0"/>
          </w:p>
        </w:tc>
      </w:tr>
      <w:tr w:rsidR="00FA083F" w:rsidRPr="0048353F" w:rsidTr="001D0E91">
        <w:trPr>
          <w:trHeight w:val="227"/>
          <w:jc w:val="center"/>
        </w:trPr>
        <w:tc>
          <w:tcPr>
            <w:tcW w:w="2686" w:type="pct"/>
            <w:gridSpan w:val="6"/>
            <w:vAlign w:val="center"/>
          </w:tcPr>
          <w:p w:rsidR="00FA083F" w:rsidRPr="0048353F" w:rsidRDefault="00FA083F" w:rsidP="008E1BFA">
            <w:pPr>
              <w:spacing w:after="60"/>
              <w:rPr>
                <w:rFonts w:asciiTheme="minorHAnsi" w:hAnsiTheme="minorHAnsi" w:cstheme="minorHAnsi"/>
                <w:b/>
                <w:lang w:val="sr-Cyrl-CS"/>
              </w:rPr>
            </w:pPr>
            <w:r w:rsidRPr="0048353F">
              <w:rPr>
                <w:rFonts w:asciiTheme="minorHAnsi" w:hAnsiTheme="minorHAnsi" w:cstheme="minorHAnsi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2314" w:type="pct"/>
            <w:gridSpan w:val="8"/>
            <w:vAlign w:val="center"/>
          </w:tcPr>
          <w:p w:rsidR="00FA083F" w:rsidRPr="0048353F" w:rsidRDefault="00FA083F" w:rsidP="008E1BFA">
            <w:pPr>
              <w:spacing w:after="60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</w:tbl>
    <w:p w:rsidR="00505EBB" w:rsidRPr="0048353F" w:rsidRDefault="00FA083F">
      <w:pPr>
        <w:rPr>
          <w:rFonts w:asciiTheme="minorHAnsi" w:hAnsiTheme="minorHAnsi" w:cstheme="minorHAnsi"/>
          <w:sz w:val="16"/>
          <w:szCs w:val="16"/>
        </w:rPr>
      </w:pPr>
      <w:r w:rsidRPr="0048353F">
        <w:rPr>
          <w:rFonts w:asciiTheme="minorHAnsi" w:hAnsiTheme="minorHAnsi" w:cstheme="minorHAnsi"/>
          <w:sz w:val="16"/>
          <w:szCs w:val="16"/>
          <w:lang w:val="sr-Cyrl-CS"/>
        </w:rPr>
        <w:t>Максимална дужине не</w:t>
      </w:r>
      <w:r w:rsidRPr="0048353F">
        <w:rPr>
          <w:rFonts w:asciiTheme="minorHAnsi" w:hAnsiTheme="minorHAnsi" w:cstheme="minorHAnsi"/>
          <w:sz w:val="16"/>
          <w:szCs w:val="16"/>
        </w:rPr>
        <w:t xml:space="preserve"> </w:t>
      </w:r>
      <w:r w:rsidRPr="0048353F">
        <w:rPr>
          <w:rFonts w:asciiTheme="minorHAnsi" w:hAnsiTheme="minorHAnsi" w:cstheme="minorHAnsi"/>
          <w:sz w:val="16"/>
          <w:szCs w:val="16"/>
          <w:lang w:val="sr-Cyrl-CS"/>
        </w:rPr>
        <w:t>сме бити већа од  2 странице А4</w:t>
      </w:r>
    </w:p>
    <w:sectPr w:rsidR="00505EBB" w:rsidRPr="0048353F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424"/>
    <w:rsid w:val="001D0E91"/>
    <w:rsid w:val="002106B9"/>
    <w:rsid w:val="00216EF0"/>
    <w:rsid w:val="002313CD"/>
    <w:rsid w:val="0048353F"/>
    <w:rsid w:val="00494424"/>
    <w:rsid w:val="004B418D"/>
    <w:rsid w:val="00505EBB"/>
    <w:rsid w:val="00604974"/>
    <w:rsid w:val="0069240E"/>
    <w:rsid w:val="006D0FF5"/>
    <w:rsid w:val="006E111D"/>
    <w:rsid w:val="007A4230"/>
    <w:rsid w:val="00820586"/>
    <w:rsid w:val="00975A90"/>
    <w:rsid w:val="00A67AE5"/>
    <w:rsid w:val="00AB00FC"/>
    <w:rsid w:val="00AB57C3"/>
    <w:rsid w:val="00EA25FB"/>
    <w:rsid w:val="00FA083F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7A42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Dobrijevic%20Dejan&amp;samoa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3</cp:revision>
  <dcterms:created xsi:type="dcterms:W3CDTF">2026-04-27T11:19:00Z</dcterms:created>
  <dcterms:modified xsi:type="dcterms:W3CDTF">2026-04-27T11:19:00Z</dcterms:modified>
</cp:coreProperties>
</file>