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748"/>
        <w:gridCol w:w="1028"/>
        <w:gridCol w:w="1846"/>
        <w:gridCol w:w="847"/>
        <w:gridCol w:w="1084"/>
        <w:gridCol w:w="899"/>
        <w:gridCol w:w="105"/>
        <w:gridCol w:w="1106"/>
        <w:gridCol w:w="410"/>
        <w:gridCol w:w="511"/>
        <w:gridCol w:w="1012"/>
      </w:tblGrid>
      <w:tr w:rsidR="001543AE" w:rsidRPr="0051778D" w:rsidTr="000029F4">
        <w:trPr>
          <w:trHeight w:val="227"/>
          <w:jc w:val="center"/>
        </w:trPr>
        <w:tc>
          <w:tcPr>
            <w:tcW w:w="1493" w:type="pct"/>
            <w:gridSpan w:val="3"/>
            <w:vAlign w:val="center"/>
          </w:tcPr>
          <w:p w:rsidR="001543AE" w:rsidRPr="0051778D" w:rsidRDefault="001543AE" w:rsidP="00836DEC">
            <w:pPr>
              <w:spacing w:after="60"/>
              <w:rPr>
                <w:lang w:val="sr-Cyrl-CS"/>
              </w:rPr>
            </w:pPr>
            <w:r w:rsidRPr="0051778D">
              <w:rPr>
                <w:b/>
                <w:lang w:val="sr-Cyrl-CS"/>
              </w:rPr>
              <w:t>Име и презиме</w:t>
            </w:r>
          </w:p>
        </w:tc>
        <w:tc>
          <w:tcPr>
            <w:tcW w:w="3507" w:type="pct"/>
            <w:gridSpan w:val="9"/>
            <w:vAlign w:val="center"/>
          </w:tcPr>
          <w:p w:rsidR="001543AE" w:rsidRPr="0051778D" w:rsidRDefault="002A307F" w:rsidP="002F4310">
            <w:pPr>
              <w:spacing w:after="60"/>
              <w:rPr>
                <w:lang w:val="sr-Cyrl-CS"/>
              </w:rPr>
            </w:pPr>
            <w:hyperlink r:id="rId5" w:history="1">
              <w:r w:rsidR="006E110C" w:rsidRPr="0051778D">
                <w:rPr>
                  <w:rStyle w:val="Hyperlink"/>
                  <w:lang w:val="sr-Cyrl-CS"/>
                </w:rPr>
                <w:t>Нада Чемерлић Ађић</w:t>
              </w:r>
            </w:hyperlink>
          </w:p>
        </w:tc>
      </w:tr>
      <w:tr w:rsidR="0051778D" w:rsidRPr="0051778D" w:rsidTr="00DB4DF7">
        <w:trPr>
          <w:trHeight w:val="227"/>
          <w:jc w:val="center"/>
        </w:trPr>
        <w:tc>
          <w:tcPr>
            <w:tcW w:w="1493" w:type="pct"/>
            <w:gridSpan w:val="3"/>
            <w:vAlign w:val="center"/>
          </w:tcPr>
          <w:p w:rsidR="0051778D" w:rsidRPr="0051778D" w:rsidRDefault="0051778D" w:rsidP="0051778D">
            <w:pPr>
              <w:spacing w:after="60"/>
              <w:rPr>
                <w:lang w:val="sr-Cyrl-CS"/>
              </w:rPr>
            </w:pPr>
            <w:r w:rsidRPr="0051778D">
              <w:rPr>
                <w:b/>
                <w:lang w:val="sr-Cyrl-CS"/>
              </w:rPr>
              <w:t>Звање</w:t>
            </w:r>
          </w:p>
        </w:tc>
        <w:tc>
          <w:tcPr>
            <w:tcW w:w="3507" w:type="pct"/>
            <w:gridSpan w:val="9"/>
          </w:tcPr>
          <w:p w:rsidR="0051778D" w:rsidRPr="0051778D" w:rsidRDefault="0051778D" w:rsidP="0051778D">
            <w:pPr>
              <w:pStyle w:val="Default"/>
              <w:rPr>
                <w:rFonts w:ascii="Times New Roman" w:hAnsi="Times New Roman" w:cs="Times New Roman"/>
                <w:sz w:val="20"/>
                <w:szCs w:val="20"/>
              </w:rPr>
            </w:pPr>
            <w:r w:rsidRPr="0051778D">
              <w:rPr>
                <w:rFonts w:ascii="Times New Roman" w:hAnsi="Times New Roman" w:cs="Times New Roman"/>
                <w:sz w:val="20"/>
                <w:szCs w:val="20"/>
              </w:rPr>
              <w:t>Редовни професор</w:t>
            </w:r>
          </w:p>
        </w:tc>
      </w:tr>
      <w:tr w:rsidR="0051778D" w:rsidRPr="0051778D" w:rsidTr="000029F4">
        <w:trPr>
          <w:trHeight w:val="227"/>
          <w:jc w:val="center"/>
        </w:trPr>
        <w:tc>
          <w:tcPr>
            <w:tcW w:w="1493" w:type="pct"/>
            <w:gridSpan w:val="3"/>
            <w:vAlign w:val="center"/>
          </w:tcPr>
          <w:p w:rsidR="0051778D" w:rsidRPr="0051778D" w:rsidRDefault="0051778D" w:rsidP="0051778D">
            <w:pPr>
              <w:spacing w:after="60"/>
              <w:rPr>
                <w:lang w:val="sr-Cyrl-CS"/>
              </w:rPr>
            </w:pPr>
            <w:r w:rsidRPr="0051778D">
              <w:rPr>
                <w:b/>
                <w:lang w:val="sr-Cyrl-CS"/>
              </w:rPr>
              <w:t>Ужа научна, уметничка односно стручна  област</w:t>
            </w:r>
          </w:p>
        </w:tc>
        <w:tc>
          <w:tcPr>
            <w:tcW w:w="3507" w:type="pct"/>
            <w:gridSpan w:val="9"/>
            <w:vAlign w:val="center"/>
          </w:tcPr>
          <w:p w:rsidR="0051778D" w:rsidRPr="0051778D" w:rsidRDefault="0051778D" w:rsidP="0051778D">
            <w:pPr>
              <w:spacing w:after="60"/>
              <w:rPr>
                <w:lang w:val="sr-Cyrl-CS"/>
              </w:rPr>
            </w:pPr>
            <w:r w:rsidRPr="0051778D">
              <w:rPr>
                <w:lang w:val="sr-Cyrl-CS"/>
              </w:rPr>
              <w:t>Хирургија</w:t>
            </w:r>
          </w:p>
        </w:tc>
      </w:tr>
      <w:tr w:rsidR="0051778D" w:rsidRPr="0051778D" w:rsidTr="0051778D">
        <w:trPr>
          <w:trHeight w:val="227"/>
          <w:jc w:val="center"/>
        </w:trPr>
        <w:tc>
          <w:tcPr>
            <w:tcW w:w="1032" w:type="pct"/>
            <w:gridSpan w:val="2"/>
            <w:vAlign w:val="center"/>
          </w:tcPr>
          <w:p w:rsidR="0051778D" w:rsidRPr="0051778D" w:rsidRDefault="0051778D" w:rsidP="0051778D">
            <w:pPr>
              <w:spacing w:after="60"/>
              <w:rPr>
                <w:lang w:val="sr-Cyrl-CS"/>
              </w:rPr>
            </w:pPr>
            <w:r w:rsidRPr="0051778D">
              <w:rPr>
                <w:b/>
                <w:lang w:val="sr-Cyrl-CS"/>
              </w:rPr>
              <w:t>Академска каријера</w:t>
            </w:r>
          </w:p>
        </w:tc>
        <w:tc>
          <w:tcPr>
            <w:tcW w:w="461" w:type="pct"/>
            <w:vAlign w:val="center"/>
          </w:tcPr>
          <w:p w:rsidR="0051778D" w:rsidRPr="0051778D" w:rsidRDefault="0051778D" w:rsidP="0051778D">
            <w:pPr>
              <w:spacing w:after="60"/>
              <w:rPr>
                <w:lang w:val="sr-Cyrl-CS"/>
              </w:rPr>
            </w:pPr>
            <w:r w:rsidRPr="0051778D">
              <w:rPr>
                <w:lang w:val="sr-Cyrl-CS"/>
              </w:rPr>
              <w:t xml:space="preserve">Година </w:t>
            </w:r>
          </w:p>
        </w:tc>
        <w:tc>
          <w:tcPr>
            <w:tcW w:w="2097" w:type="pct"/>
            <w:gridSpan w:val="4"/>
            <w:vAlign w:val="center"/>
          </w:tcPr>
          <w:p w:rsidR="0051778D" w:rsidRPr="0051778D" w:rsidRDefault="0051778D" w:rsidP="0051778D">
            <w:pPr>
              <w:spacing w:after="60"/>
              <w:rPr>
                <w:lang w:val="sr-Cyrl-CS"/>
              </w:rPr>
            </w:pPr>
            <w:r w:rsidRPr="0051778D">
              <w:rPr>
                <w:lang w:val="sr-Cyrl-CS"/>
              </w:rPr>
              <w:t xml:space="preserve">Институција </w:t>
            </w:r>
          </w:p>
        </w:tc>
        <w:tc>
          <w:tcPr>
            <w:tcW w:w="1410" w:type="pct"/>
            <w:gridSpan w:val="5"/>
            <w:vAlign w:val="center"/>
          </w:tcPr>
          <w:p w:rsidR="0051778D" w:rsidRPr="0051778D" w:rsidRDefault="0051778D" w:rsidP="0051778D">
            <w:pPr>
              <w:spacing w:after="60"/>
              <w:rPr>
                <w:lang w:val="sr-Cyrl-CS"/>
              </w:rPr>
            </w:pPr>
            <w:r w:rsidRPr="0051778D">
              <w:rPr>
                <w:lang w:val="sr-Cyrl-CS"/>
              </w:rPr>
              <w:t xml:space="preserve">Ужа научна, уметничка односно стручна област </w:t>
            </w:r>
          </w:p>
        </w:tc>
      </w:tr>
      <w:tr w:rsidR="0051778D" w:rsidRPr="0051778D" w:rsidTr="0051778D">
        <w:trPr>
          <w:trHeight w:val="227"/>
          <w:jc w:val="center"/>
        </w:trPr>
        <w:tc>
          <w:tcPr>
            <w:tcW w:w="1032" w:type="pct"/>
            <w:gridSpan w:val="2"/>
          </w:tcPr>
          <w:p w:rsidR="0051778D" w:rsidRPr="0051778D" w:rsidRDefault="0051778D" w:rsidP="0051778D">
            <w:pPr>
              <w:rPr>
                <w:lang w:val="sr-Cyrl-CS"/>
              </w:rPr>
            </w:pPr>
            <w:r w:rsidRPr="0051778D">
              <w:rPr>
                <w:lang w:val="sr-Cyrl-CS"/>
              </w:rPr>
              <w:t>Избор у звање</w:t>
            </w:r>
          </w:p>
        </w:tc>
        <w:tc>
          <w:tcPr>
            <w:tcW w:w="461" w:type="pct"/>
          </w:tcPr>
          <w:p w:rsidR="0051778D" w:rsidRPr="00FB27A0" w:rsidRDefault="0051778D" w:rsidP="0051778D">
            <w:pPr>
              <w:pStyle w:val="Default"/>
              <w:rPr>
                <w:rFonts w:ascii="Times New Roman" w:hAnsi="Times New Roman" w:cs="Times New Roman"/>
                <w:sz w:val="20"/>
                <w:szCs w:val="20"/>
              </w:rPr>
            </w:pPr>
            <w:r w:rsidRPr="0051778D">
              <w:rPr>
                <w:rFonts w:ascii="Times New Roman" w:hAnsi="Times New Roman" w:cs="Times New Roman"/>
                <w:sz w:val="20"/>
                <w:szCs w:val="20"/>
              </w:rPr>
              <w:t>201</w:t>
            </w:r>
            <w:r w:rsidR="00FB27A0">
              <w:rPr>
                <w:rFonts w:ascii="Times New Roman" w:hAnsi="Times New Roman" w:cs="Times New Roman"/>
                <w:sz w:val="20"/>
                <w:szCs w:val="20"/>
              </w:rPr>
              <w:t>3.</w:t>
            </w:r>
          </w:p>
        </w:tc>
        <w:tc>
          <w:tcPr>
            <w:tcW w:w="2097" w:type="pct"/>
            <w:gridSpan w:val="4"/>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Медицински</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факултет</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Универзитет</w:t>
            </w:r>
            <w:proofErr w:type="spellEnd"/>
            <w:r w:rsidRPr="0051778D">
              <w:rPr>
                <w:rFonts w:ascii="Times New Roman" w:hAnsi="Times New Roman" w:cs="Times New Roman"/>
                <w:sz w:val="20"/>
                <w:szCs w:val="20"/>
              </w:rPr>
              <w:t xml:space="preserve"> у </w:t>
            </w:r>
            <w:proofErr w:type="spellStart"/>
            <w:r w:rsidRPr="0051778D">
              <w:rPr>
                <w:rFonts w:ascii="Times New Roman" w:hAnsi="Times New Roman" w:cs="Times New Roman"/>
                <w:sz w:val="20"/>
                <w:szCs w:val="20"/>
              </w:rPr>
              <w:t>Новом</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Саду</w:t>
            </w:r>
            <w:proofErr w:type="spellEnd"/>
          </w:p>
        </w:tc>
        <w:tc>
          <w:tcPr>
            <w:tcW w:w="1410" w:type="pct"/>
            <w:gridSpan w:val="5"/>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Интерна</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медицина</w:t>
            </w:r>
            <w:proofErr w:type="spellEnd"/>
          </w:p>
        </w:tc>
      </w:tr>
      <w:tr w:rsidR="0051778D" w:rsidRPr="0051778D" w:rsidTr="0051778D">
        <w:trPr>
          <w:trHeight w:val="227"/>
          <w:jc w:val="center"/>
        </w:trPr>
        <w:tc>
          <w:tcPr>
            <w:tcW w:w="1032" w:type="pct"/>
            <w:gridSpan w:val="2"/>
          </w:tcPr>
          <w:p w:rsidR="0051778D" w:rsidRPr="0051778D" w:rsidRDefault="0051778D" w:rsidP="0051778D">
            <w:pPr>
              <w:rPr>
                <w:lang w:val="sr-Cyrl-CS"/>
              </w:rPr>
            </w:pPr>
            <w:r w:rsidRPr="0051778D">
              <w:rPr>
                <w:lang w:val="sr-Cyrl-CS"/>
              </w:rPr>
              <w:t>Докторат</w:t>
            </w:r>
          </w:p>
        </w:tc>
        <w:tc>
          <w:tcPr>
            <w:tcW w:w="461" w:type="pct"/>
          </w:tcPr>
          <w:p w:rsidR="0051778D" w:rsidRPr="0051778D" w:rsidRDefault="0051778D" w:rsidP="0051778D">
            <w:pPr>
              <w:pStyle w:val="Default"/>
              <w:rPr>
                <w:rFonts w:ascii="Times New Roman" w:hAnsi="Times New Roman" w:cs="Times New Roman"/>
                <w:sz w:val="20"/>
                <w:szCs w:val="20"/>
              </w:rPr>
            </w:pPr>
            <w:r w:rsidRPr="0051778D">
              <w:rPr>
                <w:rFonts w:ascii="Times New Roman" w:hAnsi="Times New Roman" w:cs="Times New Roman"/>
                <w:sz w:val="20"/>
                <w:szCs w:val="20"/>
              </w:rPr>
              <w:t>2002.</w:t>
            </w:r>
          </w:p>
        </w:tc>
        <w:tc>
          <w:tcPr>
            <w:tcW w:w="2097" w:type="pct"/>
            <w:gridSpan w:val="4"/>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Медицински</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факултет</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Универзитет</w:t>
            </w:r>
            <w:proofErr w:type="spellEnd"/>
            <w:r w:rsidRPr="0051778D">
              <w:rPr>
                <w:rFonts w:ascii="Times New Roman" w:hAnsi="Times New Roman" w:cs="Times New Roman"/>
                <w:sz w:val="20"/>
                <w:szCs w:val="20"/>
              </w:rPr>
              <w:t xml:space="preserve"> у </w:t>
            </w:r>
            <w:proofErr w:type="spellStart"/>
            <w:r w:rsidRPr="0051778D">
              <w:rPr>
                <w:rFonts w:ascii="Times New Roman" w:hAnsi="Times New Roman" w:cs="Times New Roman"/>
                <w:sz w:val="20"/>
                <w:szCs w:val="20"/>
              </w:rPr>
              <w:t>Новом</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Саду</w:t>
            </w:r>
            <w:proofErr w:type="spellEnd"/>
          </w:p>
        </w:tc>
        <w:tc>
          <w:tcPr>
            <w:tcW w:w="1410" w:type="pct"/>
            <w:gridSpan w:val="5"/>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Интерна</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медицина</w:t>
            </w:r>
            <w:proofErr w:type="spellEnd"/>
            <w:r w:rsidRPr="0051778D">
              <w:rPr>
                <w:rFonts w:ascii="Times New Roman" w:hAnsi="Times New Roman" w:cs="Times New Roman"/>
                <w:sz w:val="20"/>
                <w:szCs w:val="20"/>
              </w:rPr>
              <w:t xml:space="preserve"> - </w:t>
            </w:r>
            <w:proofErr w:type="spellStart"/>
            <w:r w:rsidRPr="0051778D">
              <w:rPr>
                <w:rFonts w:ascii="Times New Roman" w:hAnsi="Times New Roman" w:cs="Times New Roman"/>
                <w:sz w:val="20"/>
                <w:szCs w:val="20"/>
              </w:rPr>
              <w:t>кардиологија</w:t>
            </w:r>
            <w:proofErr w:type="spellEnd"/>
          </w:p>
        </w:tc>
      </w:tr>
      <w:tr w:rsidR="0051778D" w:rsidRPr="0051778D" w:rsidTr="0051778D">
        <w:trPr>
          <w:trHeight w:val="227"/>
          <w:jc w:val="center"/>
        </w:trPr>
        <w:tc>
          <w:tcPr>
            <w:tcW w:w="1032" w:type="pct"/>
            <w:gridSpan w:val="2"/>
          </w:tcPr>
          <w:p w:rsidR="0051778D" w:rsidRPr="0051778D" w:rsidRDefault="0051778D" w:rsidP="0051778D">
            <w:pPr>
              <w:rPr>
                <w:lang w:val="sr-Cyrl-CS"/>
              </w:rPr>
            </w:pPr>
            <w:r w:rsidRPr="0051778D">
              <w:rPr>
                <w:lang w:val="sr-Cyrl-CS"/>
              </w:rPr>
              <w:t>Специјализација</w:t>
            </w:r>
          </w:p>
        </w:tc>
        <w:tc>
          <w:tcPr>
            <w:tcW w:w="461" w:type="pct"/>
          </w:tcPr>
          <w:p w:rsidR="0051778D" w:rsidRPr="0051778D" w:rsidRDefault="0051778D" w:rsidP="0051778D">
            <w:pPr>
              <w:rPr>
                <w:highlight w:val="yellow"/>
              </w:rPr>
            </w:pPr>
            <w:r w:rsidRPr="0051778D">
              <w:t>1999.</w:t>
            </w:r>
          </w:p>
        </w:tc>
        <w:tc>
          <w:tcPr>
            <w:tcW w:w="2097" w:type="pct"/>
            <w:gridSpan w:val="4"/>
          </w:tcPr>
          <w:p w:rsidR="0051778D" w:rsidRPr="0051778D" w:rsidRDefault="0051778D" w:rsidP="0051778D">
            <w:pPr>
              <w:rPr>
                <w:highlight w:val="yellow"/>
                <w:lang w:val="sr-Cyrl-CS"/>
              </w:rPr>
            </w:pPr>
            <w:r w:rsidRPr="0051778D">
              <w:t>Медицински факултет, Универзитет у Новом Саду</w:t>
            </w:r>
          </w:p>
        </w:tc>
        <w:tc>
          <w:tcPr>
            <w:tcW w:w="1410" w:type="pct"/>
            <w:gridSpan w:val="5"/>
          </w:tcPr>
          <w:p w:rsidR="0051778D" w:rsidRPr="0051778D" w:rsidRDefault="0051778D" w:rsidP="0051778D">
            <w:pPr>
              <w:rPr>
                <w:highlight w:val="yellow"/>
                <w:lang w:val="sr-Cyrl-CS"/>
              </w:rPr>
            </w:pPr>
            <w:r w:rsidRPr="0051778D">
              <w:rPr>
                <w:lang w:val="sr-Cyrl-CS"/>
              </w:rPr>
              <w:t>Интерна медицина - кардиологија</w:t>
            </w:r>
          </w:p>
        </w:tc>
      </w:tr>
      <w:tr w:rsidR="0051778D" w:rsidRPr="0051778D" w:rsidTr="0051778D">
        <w:trPr>
          <w:trHeight w:val="227"/>
          <w:jc w:val="center"/>
        </w:trPr>
        <w:tc>
          <w:tcPr>
            <w:tcW w:w="1032" w:type="pct"/>
            <w:gridSpan w:val="2"/>
          </w:tcPr>
          <w:p w:rsidR="0051778D" w:rsidRPr="0051778D" w:rsidRDefault="0051778D" w:rsidP="0051778D">
            <w:pPr>
              <w:rPr>
                <w:lang w:val="sr-Cyrl-CS"/>
              </w:rPr>
            </w:pPr>
            <w:r w:rsidRPr="0051778D">
              <w:rPr>
                <w:lang w:val="sr-Cyrl-CS"/>
              </w:rPr>
              <w:t>Магистратура</w:t>
            </w:r>
          </w:p>
        </w:tc>
        <w:tc>
          <w:tcPr>
            <w:tcW w:w="461" w:type="pct"/>
          </w:tcPr>
          <w:p w:rsidR="0051778D" w:rsidRPr="0051778D" w:rsidRDefault="0051778D" w:rsidP="0051778D">
            <w:pPr>
              <w:pStyle w:val="Default"/>
              <w:rPr>
                <w:rFonts w:ascii="Times New Roman" w:hAnsi="Times New Roman" w:cs="Times New Roman"/>
                <w:sz w:val="20"/>
                <w:szCs w:val="20"/>
              </w:rPr>
            </w:pPr>
            <w:r w:rsidRPr="0051778D">
              <w:rPr>
                <w:rFonts w:ascii="Times New Roman" w:hAnsi="Times New Roman" w:cs="Times New Roman"/>
                <w:sz w:val="20"/>
                <w:szCs w:val="20"/>
              </w:rPr>
              <w:t>1997.</w:t>
            </w:r>
          </w:p>
        </w:tc>
        <w:tc>
          <w:tcPr>
            <w:tcW w:w="2097" w:type="pct"/>
            <w:gridSpan w:val="4"/>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Медицински</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факултет</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Универзитет</w:t>
            </w:r>
            <w:proofErr w:type="spellEnd"/>
            <w:r w:rsidRPr="0051778D">
              <w:rPr>
                <w:rFonts w:ascii="Times New Roman" w:hAnsi="Times New Roman" w:cs="Times New Roman"/>
                <w:sz w:val="20"/>
                <w:szCs w:val="20"/>
              </w:rPr>
              <w:t xml:space="preserve"> у </w:t>
            </w:r>
            <w:proofErr w:type="spellStart"/>
            <w:r w:rsidRPr="0051778D">
              <w:rPr>
                <w:rFonts w:ascii="Times New Roman" w:hAnsi="Times New Roman" w:cs="Times New Roman"/>
                <w:sz w:val="20"/>
                <w:szCs w:val="20"/>
              </w:rPr>
              <w:t>Новом</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Саду</w:t>
            </w:r>
            <w:proofErr w:type="spellEnd"/>
          </w:p>
        </w:tc>
        <w:tc>
          <w:tcPr>
            <w:tcW w:w="1410" w:type="pct"/>
            <w:gridSpan w:val="5"/>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Интерна</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медицина</w:t>
            </w:r>
            <w:proofErr w:type="spellEnd"/>
            <w:r w:rsidRPr="0051778D">
              <w:rPr>
                <w:rFonts w:ascii="Times New Roman" w:hAnsi="Times New Roman" w:cs="Times New Roman"/>
                <w:sz w:val="20"/>
                <w:szCs w:val="20"/>
              </w:rPr>
              <w:t xml:space="preserve"> - </w:t>
            </w:r>
            <w:proofErr w:type="spellStart"/>
            <w:r w:rsidRPr="0051778D">
              <w:rPr>
                <w:rFonts w:ascii="Times New Roman" w:hAnsi="Times New Roman" w:cs="Times New Roman"/>
                <w:sz w:val="20"/>
                <w:szCs w:val="20"/>
              </w:rPr>
              <w:t>кардиологија</w:t>
            </w:r>
            <w:proofErr w:type="spellEnd"/>
          </w:p>
        </w:tc>
      </w:tr>
      <w:tr w:rsidR="0051778D" w:rsidRPr="0051778D" w:rsidTr="0051778D">
        <w:trPr>
          <w:trHeight w:val="227"/>
          <w:jc w:val="center"/>
        </w:trPr>
        <w:tc>
          <w:tcPr>
            <w:tcW w:w="1032" w:type="pct"/>
            <w:gridSpan w:val="2"/>
          </w:tcPr>
          <w:p w:rsidR="0051778D" w:rsidRPr="0051778D" w:rsidRDefault="0051778D" w:rsidP="0051778D">
            <w:pPr>
              <w:rPr>
                <w:lang w:val="sr-Cyrl-CS"/>
              </w:rPr>
            </w:pPr>
            <w:r w:rsidRPr="0051778D">
              <w:rPr>
                <w:lang w:val="sr-Cyrl-CS"/>
              </w:rPr>
              <w:t>Диплома</w:t>
            </w:r>
          </w:p>
        </w:tc>
        <w:tc>
          <w:tcPr>
            <w:tcW w:w="461" w:type="pct"/>
          </w:tcPr>
          <w:p w:rsidR="0051778D" w:rsidRPr="0051778D" w:rsidRDefault="0051778D" w:rsidP="0051778D">
            <w:pPr>
              <w:pStyle w:val="Default"/>
              <w:rPr>
                <w:rFonts w:ascii="Times New Roman" w:hAnsi="Times New Roman" w:cs="Times New Roman"/>
                <w:sz w:val="20"/>
                <w:szCs w:val="20"/>
              </w:rPr>
            </w:pPr>
            <w:r w:rsidRPr="0051778D">
              <w:rPr>
                <w:rFonts w:ascii="Times New Roman" w:hAnsi="Times New Roman" w:cs="Times New Roman"/>
                <w:sz w:val="20"/>
                <w:szCs w:val="20"/>
              </w:rPr>
              <w:t>1985.</w:t>
            </w:r>
          </w:p>
        </w:tc>
        <w:tc>
          <w:tcPr>
            <w:tcW w:w="2097" w:type="pct"/>
            <w:gridSpan w:val="4"/>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Медицински</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факултет</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Универзитет</w:t>
            </w:r>
            <w:proofErr w:type="spellEnd"/>
            <w:r w:rsidRPr="0051778D">
              <w:rPr>
                <w:rFonts w:ascii="Times New Roman" w:hAnsi="Times New Roman" w:cs="Times New Roman"/>
                <w:sz w:val="20"/>
                <w:szCs w:val="20"/>
              </w:rPr>
              <w:t xml:space="preserve"> у </w:t>
            </w:r>
            <w:proofErr w:type="spellStart"/>
            <w:r w:rsidRPr="0051778D">
              <w:rPr>
                <w:rFonts w:ascii="Times New Roman" w:hAnsi="Times New Roman" w:cs="Times New Roman"/>
                <w:sz w:val="20"/>
                <w:szCs w:val="20"/>
              </w:rPr>
              <w:t>Новом</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Саду</w:t>
            </w:r>
            <w:proofErr w:type="spellEnd"/>
          </w:p>
        </w:tc>
        <w:tc>
          <w:tcPr>
            <w:tcW w:w="1410" w:type="pct"/>
            <w:gridSpan w:val="5"/>
          </w:tcPr>
          <w:p w:rsidR="0051778D" w:rsidRPr="0051778D" w:rsidRDefault="0051778D" w:rsidP="0051778D">
            <w:pPr>
              <w:pStyle w:val="Default"/>
              <w:rPr>
                <w:rFonts w:ascii="Times New Roman" w:hAnsi="Times New Roman" w:cs="Times New Roman"/>
                <w:sz w:val="20"/>
                <w:szCs w:val="20"/>
              </w:rPr>
            </w:pPr>
            <w:proofErr w:type="spellStart"/>
            <w:r w:rsidRPr="0051778D">
              <w:rPr>
                <w:rFonts w:ascii="Times New Roman" w:hAnsi="Times New Roman" w:cs="Times New Roman"/>
                <w:sz w:val="20"/>
                <w:szCs w:val="20"/>
              </w:rPr>
              <w:t>Општа</w:t>
            </w:r>
            <w:proofErr w:type="spellEnd"/>
            <w:r w:rsidRPr="0051778D">
              <w:rPr>
                <w:rFonts w:ascii="Times New Roman" w:hAnsi="Times New Roman" w:cs="Times New Roman"/>
                <w:sz w:val="20"/>
                <w:szCs w:val="20"/>
              </w:rPr>
              <w:t xml:space="preserve"> </w:t>
            </w:r>
            <w:proofErr w:type="spellStart"/>
            <w:r w:rsidRPr="0051778D">
              <w:rPr>
                <w:rFonts w:ascii="Times New Roman" w:hAnsi="Times New Roman" w:cs="Times New Roman"/>
                <w:sz w:val="20"/>
                <w:szCs w:val="20"/>
              </w:rPr>
              <w:t>медицина</w:t>
            </w:r>
            <w:proofErr w:type="spellEnd"/>
          </w:p>
        </w:tc>
      </w:tr>
      <w:tr w:rsidR="0051778D" w:rsidRPr="0051778D" w:rsidTr="00774809">
        <w:trPr>
          <w:trHeight w:val="227"/>
          <w:jc w:val="center"/>
        </w:trPr>
        <w:tc>
          <w:tcPr>
            <w:tcW w:w="5000" w:type="pct"/>
            <w:gridSpan w:val="12"/>
            <w:vAlign w:val="center"/>
          </w:tcPr>
          <w:p w:rsidR="0051778D" w:rsidRPr="0051778D" w:rsidRDefault="0051778D" w:rsidP="0051778D">
            <w:pPr>
              <w:spacing w:after="60"/>
              <w:rPr>
                <w:lang w:val="sr-Cyrl-CS"/>
              </w:rPr>
            </w:pPr>
            <w:r w:rsidRPr="0051778D">
              <w:rPr>
                <w:b/>
                <w:lang w:val="sr-Cyrl-CS"/>
              </w:rPr>
              <w:t>Списак дисертација</w:t>
            </w:r>
            <w:r w:rsidRPr="0051778D">
              <w:rPr>
                <w:b/>
              </w:rPr>
              <w:t xml:space="preserve">-докторских уметничких пројеката </w:t>
            </w:r>
            <w:r w:rsidRPr="0051778D">
              <w:rPr>
                <w:b/>
                <w:lang w:val="sr-Cyrl-CS"/>
              </w:rPr>
              <w:t>а у којима је наставнк ментор или је био ментор у претходних 10 година</w:t>
            </w:r>
          </w:p>
        </w:tc>
      </w:tr>
      <w:tr w:rsidR="0051778D" w:rsidRPr="0051778D" w:rsidTr="0051778D">
        <w:trPr>
          <w:trHeight w:val="227"/>
          <w:jc w:val="center"/>
        </w:trPr>
        <w:tc>
          <w:tcPr>
            <w:tcW w:w="248" w:type="pct"/>
            <w:vAlign w:val="center"/>
          </w:tcPr>
          <w:p w:rsidR="0051778D" w:rsidRPr="0051778D" w:rsidRDefault="0051778D" w:rsidP="0051778D">
            <w:pPr>
              <w:spacing w:after="60"/>
              <w:rPr>
                <w:lang w:val="sr-Cyrl-CS"/>
              </w:rPr>
            </w:pPr>
            <w:r w:rsidRPr="0051778D">
              <w:rPr>
                <w:lang w:val="sr-Cyrl-CS"/>
              </w:rPr>
              <w:t>Р.Б.</w:t>
            </w:r>
          </w:p>
        </w:tc>
        <w:tc>
          <w:tcPr>
            <w:tcW w:w="2453" w:type="pct"/>
            <w:gridSpan w:val="4"/>
            <w:vAlign w:val="center"/>
          </w:tcPr>
          <w:p w:rsidR="0051778D" w:rsidRPr="0051778D" w:rsidRDefault="0051778D" w:rsidP="0051778D">
            <w:pPr>
              <w:spacing w:after="60"/>
            </w:pPr>
            <w:r w:rsidRPr="0051778D">
              <w:rPr>
                <w:lang w:val="sr-Cyrl-CS"/>
              </w:rPr>
              <w:t>Наслов дисертације</w:t>
            </w:r>
            <w:r w:rsidRPr="0051778D">
              <w:t xml:space="preserve">- докторског уметничког пројекта </w:t>
            </w:r>
          </w:p>
        </w:tc>
        <w:tc>
          <w:tcPr>
            <w:tcW w:w="889" w:type="pct"/>
            <w:gridSpan w:val="2"/>
            <w:vAlign w:val="center"/>
          </w:tcPr>
          <w:p w:rsidR="0051778D" w:rsidRPr="0051778D" w:rsidRDefault="0051778D" w:rsidP="0051778D">
            <w:pPr>
              <w:spacing w:after="60"/>
              <w:rPr>
                <w:lang w:val="sr-Cyrl-CS"/>
              </w:rPr>
            </w:pPr>
            <w:r w:rsidRPr="0051778D">
              <w:rPr>
                <w:lang w:val="sr-Cyrl-CS"/>
              </w:rPr>
              <w:t>Име кандидата</w:t>
            </w:r>
          </w:p>
        </w:tc>
        <w:tc>
          <w:tcPr>
            <w:tcW w:w="727" w:type="pct"/>
            <w:gridSpan w:val="3"/>
            <w:vAlign w:val="center"/>
          </w:tcPr>
          <w:p w:rsidR="0051778D" w:rsidRPr="0051778D" w:rsidRDefault="0051778D" w:rsidP="0051778D">
            <w:pPr>
              <w:spacing w:after="60"/>
              <w:rPr>
                <w:lang w:val="sr-Cyrl-CS"/>
              </w:rPr>
            </w:pPr>
            <w:r w:rsidRPr="0051778D">
              <w:rPr>
                <w:lang w:val="sr-Cyrl-CS"/>
              </w:rPr>
              <w:t xml:space="preserve">*пријављена </w:t>
            </w:r>
          </w:p>
        </w:tc>
        <w:tc>
          <w:tcPr>
            <w:tcW w:w="683" w:type="pct"/>
            <w:gridSpan w:val="2"/>
            <w:vAlign w:val="center"/>
          </w:tcPr>
          <w:p w:rsidR="0051778D" w:rsidRPr="0051778D" w:rsidRDefault="0051778D" w:rsidP="0051778D">
            <w:pPr>
              <w:spacing w:after="60"/>
              <w:rPr>
                <w:lang w:val="sr-Cyrl-CS"/>
              </w:rPr>
            </w:pPr>
            <w:r w:rsidRPr="0051778D">
              <w:rPr>
                <w:lang w:val="sr-Cyrl-CS"/>
              </w:rPr>
              <w:t>** одбрањена</w:t>
            </w:r>
          </w:p>
        </w:tc>
      </w:tr>
      <w:tr w:rsidR="0051778D" w:rsidRPr="0051778D" w:rsidTr="0051778D">
        <w:trPr>
          <w:trHeight w:val="227"/>
          <w:jc w:val="center"/>
        </w:trPr>
        <w:tc>
          <w:tcPr>
            <w:tcW w:w="248" w:type="pct"/>
            <w:vAlign w:val="center"/>
          </w:tcPr>
          <w:p w:rsidR="0051778D" w:rsidRPr="0051778D" w:rsidRDefault="0051778D" w:rsidP="0051778D">
            <w:pPr>
              <w:spacing w:after="60"/>
              <w:rPr>
                <w:lang w:val="sr-Cyrl-CS"/>
              </w:rPr>
            </w:pPr>
            <w:r w:rsidRPr="0051778D">
              <w:rPr>
                <w:lang w:val="sr-Cyrl-CS"/>
              </w:rPr>
              <w:t>1.</w:t>
            </w:r>
          </w:p>
        </w:tc>
        <w:tc>
          <w:tcPr>
            <w:tcW w:w="2453" w:type="pct"/>
            <w:gridSpan w:val="4"/>
            <w:vAlign w:val="center"/>
          </w:tcPr>
          <w:p w:rsidR="0051778D" w:rsidRPr="0051778D" w:rsidRDefault="0051778D" w:rsidP="0051778D">
            <w:pPr>
              <w:spacing w:after="60"/>
              <w:rPr>
                <w:lang w:val="sr-Cyrl-CS"/>
              </w:rPr>
            </w:pPr>
            <w:r w:rsidRPr="0051778D">
              <w:rPr>
                <w:lang w:val="sr-Cyrl-CS"/>
              </w:rPr>
              <w:t>ПОВЕЗАНОСТ НИВОА ПРЕОПЕРАТИВНОГ РИЗИКА КАРДИОХИРУРШКИХ БОЛЕСНИКА И АКТИВНОСТИ МЕДИЦИНСКИХ СЕСТАРА ЈЕДИНИЦЕ ИНТЕНЗИВНОГ ЛЕЧЕЊА</w:t>
            </w:r>
          </w:p>
        </w:tc>
        <w:tc>
          <w:tcPr>
            <w:tcW w:w="889" w:type="pct"/>
            <w:gridSpan w:val="2"/>
            <w:vAlign w:val="center"/>
          </w:tcPr>
          <w:p w:rsidR="0051778D" w:rsidRPr="0051778D" w:rsidRDefault="0051778D" w:rsidP="0051778D">
            <w:pPr>
              <w:spacing w:after="60"/>
              <w:rPr>
                <w:lang w:val="sr-Cyrl-CS"/>
              </w:rPr>
            </w:pPr>
            <w:r w:rsidRPr="0051778D">
              <w:rPr>
                <w:lang w:val="sr-Cyrl-CS"/>
              </w:rPr>
              <w:t>Наташа Стојаковић</w:t>
            </w:r>
          </w:p>
        </w:tc>
        <w:tc>
          <w:tcPr>
            <w:tcW w:w="727" w:type="pct"/>
            <w:gridSpan w:val="3"/>
            <w:vAlign w:val="center"/>
          </w:tcPr>
          <w:p w:rsidR="0051778D" w:rsidRPr="0051778D" w:rsidRDefault="0051778D" w:rsidP="0051778D">
            <w:pPr>
              <w:spacing w:after="60"/>
              <w:rPr>
                <w:lang w:val="sr-Cyrl-CS"/>
              </w:rPr>
            </w:pPr>
          </w:p>
        </w:tc>
        <w:tc>
          <w:tcPr>
            <w:tcW w:w="683" w:type="pct"/>
            <w:gridSpan w:val="2"/>
            <w:vAlign w:val="center"/>
          </w:tcPr>
          <w:p w:rsidR="0051778D" w:rsidRPr="0051778D" w:rsidRDefault="0051778D" w:rsidP="0051778D">
            <w:pPr>
              <w:spacing w:after="60"/>
              <w:rPr>
                <w:lang w:val="sr-Cyrl-CS"/>
              </w:rPr>
            </w:pPr>
            <w:r w:rsidRPr="0051778D">
              <w:rPr>
                <w:lang w:val="sr-Cyrl-CS"/>
              </w:rPr>
              <w:t>2017.</w:t>
            </w:r>
          </w:p>
        </w:tc>
      </w:tr>
      <w:tr w:rsidR="0051778D" w:rsidRPr="0051778D" w:rsidTr="0051778D">
        <w:trPr>
          <w:trHeight w:val="227"/>
          <w:jc w:val="center"/>
        </w:trPr>
        <w:tc>
          <w:tcPr>
            <w:tcW w:w="248" w:type="pct"/>
            <w:vAlign w:val="center"/>
          </w:tcPr>
          <w:p w:rsidR="0051778D" w:rsidRPr="0051778D" w:rsidRDefault="0051778D" w:rsidP="0051778D">
            <w:pPr>
              <w:spacing w:after="60"/>
              <w:rPr>
                <w:lang w:val="sr-Cyrl-CS"/>
              </w:rPr>
            </w:pPr>
            <w:r w:rsidRPr="0051778D">
              <w:rPr>
                <w:lang w:val="sr-Cyrl-CS"/>
              </w:rPr>
              <w:t>2.</w:t>
            </w:r>
          </w:p>
        </w:tc>
        <w:tc>
          <w:tcPr>
            <w:tcW w:w="2453" w:type="pct"/>
            <w:gridSpan w:val="4"/>
            <w:vAlign w:val="center"/>
          </w:tcPr>
          <w:p w:rsidR="0051778D" w:rsidRPr="0051778D" w:rsidRDefault="0051778D" w:rsidP="0051778D">
            <w:pPr>
              <w:spacing w:after="60"/>
              <w:rPr>
                <w:lang w:val="sr-Cyrl-CS"/>
              </w:rPr>
            </w:pPr>
            <w:r w:rsidRPr="0051778D">
              <w:rPr>
                <w:lang w:val="sr-Cyrl-CS"/>
              </w:rPr>
              <w:t>РЕГИОНАЛНИ МОДЕЛ ЗА ПРОЦЕНУ ЈЕДНОГОДИШЊЕГ ОПЕРАТИВНОГ РИЗИКА У КАРДИОХИРУРГИЈИ</w:t>
            </w:r>
          </w:p>
        </w:tc>
        <w:tc>
          <w:tcPr>
            <w:tcW w:w="889" w:type="pct"/>
            <w:gridSpan w:val="2"/>
            <w:vAlign w:val="center"/>
          </w:tcPr>
          <w:p w:rsidR="0051778D" w:rsidRPr="0051778D" w:rsidRDefault="0051778D" w:rsidP="0051778D">
            <w:pPr>
              <w:spacing w:after="60"/>
              <w:rPr>
                <w:lang w:val="sr-Cyrl-CS"/>
              </w:rPr>
            </w:pPr>
            <w:r w:rsidRPr="0051778D">
              <w:rPr>
                <w:lang w:val="sr-Cyrl-CS"/>
              </w:rPr>
              <w:t>Бојан Михајловић</w:t>
            </w:r>
          </w:p>
        </w:tc>
        <w:tc>
          <w:tcPr>
            <w:tcW w:w="727" w:type="pct"/>
            <w:gridSpan w:val="3"/>
            <w:vAlign w:val="center"/>
          </w:tcPr>
          <w:p w:rsidR="0051778D" w:rsidRPr="0051778D" w:rsidRDefault="0051778D" w:rsidP="0051778D">
            <w:pPr>
              <w:spacing w:after="60"/>
              <w:rPr>
                <w:lang w:val="sr-Cyrl-CS"/>
              </w:rPr>
            </w:pPr>
          </w:p>
        </w:tc>
        <w:tc>
          <w:tcPr>
            <w:tcW w:w="683" w:type="pct"/>
            <w:gridSpan w:val="2"/>
            <w:vAlign w:val="center"/>
          </w:tcPr>
          <w:p w:rsidR="0051778D" w:rsidRPr="0051778D" w:rsidRDefault="0051778D" w:rsidP="0051778D">
            <w:pPr>
              <w:spacing w:after="60"/>
              <w:rPr>
                <w:lang w:val="sr-Cyrl-CS"/>
              </w:rPr>
            </w:pPr>
            <w:r w:rsidRPr="0051778D">
              <w:rPr>
                <w:lang w:val="sr-Cyrl-CS"/>
              </w:rPr>
              <w:t>2016.</w:t>
            </w:r>
          </w:p>
        </w:tc>
      </w:tr>
      <w:tr w:rsidR="0051778D" w:rsidRPr="0051778D" w:rsidTr="0051778D">
        <w:trPr>
          <w:trHeight w:val="227"/>
          <w:jc w:val="center"/>
        </w:trPr>
        <w:tc>
          <w:tcPr>
            <w:tcW w:w="248" w:type="pct"/>
            <w:vAlign w:val="center"/>
          </w:tcPr>
          <w:p w:rsidR="0051778D" w:rsidRPr="0051778D" w:rsidRDefault="0051778D" w:rsidP="0051778D">
            <w:pPr>
              <w:spacing w:after="60"/>
              <w:rPr>
                <w:lang w:val="sr-Cyrl-CS"/>
              </w:rPr>
            </w:pPr>
            <w:r w:rsidRPr="0051778D">
              <w:rPr>
                <w:lang w:val="sr-Cyrl-CS"/>
              </w:rPr>
              <w:t>3.</w:t>
            </w:r>
          </w:p>
        </w:tc>
        <w:tc>
          <w:tcPr>
            <w:tcW w:w="2453" w:type="pct"/>
            <w:gridSpan w:val="4"/>
            <w:vAlign w:val="center"/>
          </w:tcPr>
          <w:p w:rsidR="0051778D" w:rsidRPr="0051778D" w:rsidRDefault="0051778D" w:rsidP="0051778D">
            <w:pPr>
              <w:spacing w:after="60"/>
              <w:rPr>
                <w:lang w:val="sr-Cyrl-CS"/>
              </w:rPr>
            </w:pPr>
            <w:r w:rsidRPr="0051778D">
              <w:rPr>
                <w:lang w:val="sr-Cyrl-CS"/>
              </w:rPr>
              <w:t>КАРДИОТОКСИЧНИ ЕФЕКАТ ХЕМИОТЕРАПИЈЕ КОД ОБОЛЕЛИХ ОД НЕМИКРОЦЕЛУЛАРНОГ КАРЦИНОМА БРОНХА СА УЗНАПРЕДОВАЛИМ СТАДИЈУМОМ БОЛЕСТИ</w:t>
            </w:r>
          </w:p>
        </w:tc>
        <w:tc>
          <w:tcPr>
            <w:tcW w:w="889" w:type="pct"/>
            <w:gridSpan w:val="2"/>
            <w:vAlign w:val="center"/>
          </w:tcPr>
          <w:p w:rsidR="0051778D" w:rsidRPr="0051778D" w:rsidRDefault="0051778D" w:rsidP="0051778D">
            <w:pPr>
              <w:spacing w:after="60"/>
              <w:rPr>
                <w:lang w:val="sr-Cyrl-CS"/>
              </w:rPr>
            </w:pPr>
            <w:r w:rsidRPr="0051778D">
              <w:rPr>
                <w:lang w:val="sr-Cyrl-CS"/>
              </w:rPr>
              <w:t>Далиборка Бурсаћ</w:t>
            </w:r>
          </w:p>
        </w:tc>
        <w:tc>
          <w:tcPr>
            <w:tcW w:w="727" w:type="pct"/>
            <w:gridSpan w:val="3"/>
            <w:vAlign w:val="center"/>
          </w:tcPr>
          <w:p w:rsidR="0051778D" w:rsidRPr="0051778D" w:rsidRDefault="0051778D" w:rsidP="0051778D">
            <w:pPr>
              <w:spacing w:after="60"/>
              <w:rPr>
                <w:lang w:val="sr-Cyrl-CS"/>
              </w:rPr>
            </w:pPr>
          </w:p>
        </w:tc>
        <w:tc>
          <w:tcPr>
            <w:tcW w:w="683" w:type="pct"/>
            <w:gridSpan w:val="2"/>
            <w:vAlign w:val="center"/>
          </w:tcPr>
          <w:p w:rsidR="0051778D" w:rsidRPr="0051778D" w:rsidRDefault="0051778D" w:rsidP="0051778D">
            <w:pPr>
              <w:spacing w:after="60"/>
              <w:rPr>
                <w:lang w:val="sr-Cyrl-CS"/>
              </w:rPr>
            </w:pPr>
            <w:r w:rsidRPr="0051778D">
              <w:rPr>
                <w:lang w:val="sr-Cyrl-CS"/>
              </w:rPr>
              <w:t>2015.</w:t>
            </w:r>
          </w:p>
        </w:tc>
      </w:tr>
      <w:tr w:rsidR="0051778D" w:rsidRPr="0051778D" w:rsidTr="0051778D">
        <w:trPr>
          <w:trHeight w:val="227"/>
          <w:jc w:val="center"/>
        </w:trPr>
        <w:tc>
          <w:tcPr>
            <w:tcW w:w="248" w:type="pct"/>
            <w:vAlign w:val="center"/>
          </w:tcPr>
          <w:p w:rsidR="0051778D" w:rsidRPr="0051778D" w:rsidRDefault="0051778D" w:rsidP="0051778D">
            <w:pPr>
              <w:spacing w:after="60"/>
              <w:rPr>
                <w:lang w:val="sr-Cyrl-CS"/>
              </w:rPr>
            </w:pPr>
            <w:r w:rsidRPr="0051778D">
              <w:rPr>
                <w:lang w:val="sr-Cyrl-CS"/>
              </w:rPr>
              <w:t>4.</w:t>
            </w:r>
          </w:p>
        </w:tc>
        <w:tc>
          <w:tcPr>
            <w:tcW w:w="2453" w:type="pct"/>
            <w:gridSpan w:val="4"/>
            <w:vAlign w:val="center"/>
          </w:tcPr>
          <w:p w:rsidR="0051778D" w:rsidRPr="0051778D" w:rsidRDefault="0051778D" w:rsidP="0051778D">
            <w:pPr>
              <w:spacing w:after="60"/>
              <w:rPr>
                <w:lang w:val="sr-Cyrl-CS"/>
              </w:rPr>
            </w:pPr>
            <w:r w:rsidRPr="0051778D">
              <w:rPr>
                <w:lang w:val="sr-Cyrl-CS"/>
              </w:rPr>
              <w:t>ЕВАЛУАЦИЈА ПРЕДИКТИВНЕ ВРЕДНОСТИ EUROSCORE-A КАО МОДЕЛА СТРАТИФИКАЦИЈЕ РИЗИКА У КАРДИОХИРУРГИЈИ</w:t>
            </w:r>
          </w:p>
        </w:tc>
        <w:tc>
          <w:tcPr>
            <w:tcW w:w="889" w:type="pct"/>
            <w:gridSpan w:val="2"/>
            <w:vAlign w:val="center"/>
          </w:tcPr>
          <w:p w:rsidR="0051778D" w:rsidRPr="0051778D" w:rsidRDefault="0051778D" w:rsidP="0051778D">
            <w:pPr>
              <w:spacing w:after="60"/>
              <w:rPr>
                <w:lang w:val="sr-Cyrl-CS"/>
              </w:rPr>
            </w:pPr>
            <w:r w:rsidRPr="0051778D">
              <w:rPr>
                <w:lang w:val="sr-Cyrl-CS"/>
              </w:rPr>
              <w:t>Лазар Велицки</w:t>
            </w:r>
          </w:p>
        </w:tc>
        <w:tc>
          <w:tcPr>
            <w:tcW w:w="727" w:type="pct"/>
            <w:gridSpan w:val="3"/>
            <w:vAlign w:val="center"/>
          </w:tcPr>
          <w:p w:rsidR="0051778D" w:rsidRPr="0051778D" w:rsidRDefault="0051778D" w:rsidP="0051778D">
            <w:pPr>
              <w:spacing w:after="60"/>
              <w:rPr>
                <w:lang w:val="sr-Cyrl-CS"/>
              </w:rPr>
            </w:pPr>
          </w:p>
        </w:tc>
        <w:tc>
          <w:tcPr>
            <w:tcW w:w="683" w:type="pct"/>
            <w:gridSpan w:val="2"/>
            <w:vAlign w:val="center"/>
          </w:tcPr>
          <w:p w:rsidR="0051778D" w:rsidRPr="0051778D" w:rsidRDefault="0051778D" w:rsidP="0051778D">
            <w:pPr>
              <w:spacing w:after="60"/>
              <w:rPr>
                <w:lang w:val="sr-Cyrl-CS"/>
              </w:rPr>
            </w:pPr>
            <w:r w:rsidRPr="0051778D">
              <w:rPr>
                <w:lang w:val="sr-Cyrl-CS"/>
              </w:rPr>
              <w:t>2011.</w:t>
            </w:r>
          </w:p>
        </w:tc>
      </w:tr>
      <w:tr w:rsidR="0051778D" w:rsidRPr="0051778D" w:rsidTr="00774809">
        <w:trPr>
          <w:trHeight w:val="227"/>
          <w:jc w:val="center"/>
        </w:trPr>
        <w:tc>
          <w:tcPr>
            <w:tcW w:w="5000" w:type="pct"/>
            <w:gridSpan w:val="12"/>
            <w:vAlign w:val="center"/>
          </w:tcPr>
          <w:p w:rsidR="0051778D" w:rsidRPr="0051778D" w:rsidRDefault="0051778D" w:rsidP="0051778D">
            <w:pPr>
              <w:spacing w:after="60"/>
              <w:rPr>
                <w:lang w:val="sr-Cyrl-CS"/>
              </w:rPr>
            </w:pPr>
            <w:r w:rsidRPr="0051778D">
              <w:rPr>
                <w:lang w:val="sr-Cyrl-CS"/>
              </w:rPr>
              <w:t>*Година  у којој је дисертација</w:t>
            </w:r>
            <w:r w:rsidRPr="0051778D">
              <w:t xml:space="preserve">-докторски уметнички пројекат </w:t>
            </w:r>
            <w:r w:rsidRPr="0051778D">
              <w:rPr>
                <w:lang w:val="sr-Cyrl-CS"/>
              </w:rPr>
              <w:t xml:space="preserve"> пријављена</w:t>
            </w:r>
            <w:r w:rsidRPr="0051778D">
              <w:t xml:space="preserve">-пријављен </w:t>
            </w:r>
            <w:r w:rsidRPr="0051778D">
              <w:rPr>
                <w:lang w:val="sr-Cyrl-CS"/>
              </w:rPr>
              <w:t>(само за дисертације</w:t>
            </w:r>
            <w:r w:rsidRPr="0051778D">
              <w:t xml:space="preserve">-докторске уметничке пројекте </w:t>
            </w:r>
            <w:r w:rsidRPr="0051778D">
              <w:rPr>
                <w:lang w:val="sr-Cyrl-CS"/>
              </w:rPr>
              <w:t xml:space="preserve"> које су у току), ** Година у којој је дисертација</w:t>
            </w:r>
            <w:r w:rsidRPr="0051778D">
              <w:t xml:space="preserve">-докторски уметнички пројекат </w:t>
            </w:r>
            <w:r w:rsidRPr="0051778D">
              <w:rPr>
                <w:lang w:val="sr-Cyrl-CS"/>
              </w:rPr>
              <w:t xml:space="preserve"> одбрањена (само за дисертације</w:t>
            </w:r>
            <w:r w:rsidRPr="0051778D">
              <w:t xml:space="preserve">-докторско уметничке пројекте </w:t>
            </w:r>
            <w:r w:rsidRPr="0051778D">
              <w:rPr>
                <w:lang w:val="sr-Cyrl-CS"/>
              </w:rPr>
              <w:t xml:space="preserve"> из ранијег периода)</w:t>
            </w:r>
          </w:p>
        </w:tc>
      </w:tr>
      <w:tr w:rsidR="0051778D" w:rsidRPr="0051778D" w:rsidTr="00774809">
        <w:trPr>
          <w:trHeight w:val="227"/>
          <w:jc w:val="center"/>
        </w:trPr>
        <w:tc>
          <w:tcPr>
            <w:tcW w:w="5000" w:type="pct"/>
            <w:gridSpan w:val="12"/>
            <w:vAlign w:val="center"/>
          </w:tcPr>
          <w:p w:rsidR="0051778D" w:rsidRPr="0051778D" w:rsidRDefault="0051778D" w:rsidP="005D716D">
            <w:pPr>
              <w:spacing w:after="60"/>
              <w:rPr>
                <w:b/>
              </w:rPr>
            </w:pPr>
            <w:r w:rsidRPr="0051778D">
              <w:rPr>
                <w:b/>
                <w:lang w:val="sr-Cyrl-CS"/>
              </w:rPr>
              <w:t>Категоризација публикације</w:t>
            </w:r>
            <w:r w:rsidRPr="0051778D">
              <w:rPr>
                <w:b/>
              </w:rPr>
              <w:t xml:space="preserve"> научних радова  из области датог студијског програма </w:t>
            </w:r>
            <w:r w:rsidRPr="0051778D">
              <w:rPr>
                <w:b/>
                <w:lang w:val="sr-Cyrl-CS"/>
              </w:rPr>
              <w:t xml:space="preserve"> према класификацији ре</w:t>
            </w:r>
            <w:r w:rsidRPr="0051778D">
              <w:rPr>
                <w:b/>
              </w:rPr>
              <w:t>с</w:t>
            </w:r>
            <w:r w:rsidRPr="0051778D">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51778D" w:rsidRPr="0051778D" w:rsidTr="0051778D">
        <w:trPr>
          <w:trHeight w:val="227"/>
          <w:jc w:val="center"/>
        </w:trPr>
        <w:tc>
          <w:tcPr>
            <w:tcW w:w="248" w:type="pct"/>
            <w:vAlign w:val="center"/>
          </w:tcPr>
          <w:p w:rsidR="0051778D" w:rsidRPr="0051778D" w:rsidRDefault="0051778D" w:rsidP="0051778D">
            <w:pPr>
              <w:spacing w:after="60"/>
              <w:ind w:left="-23"/>
              <w:jc w:val="center"/>
            </w:pPr>
            <w:r w:rsidRPr="0051778D">
              <w:t>Р.б.</w:t>
            </w:r>
          </w:p>
        </w:tc>
        <w:tc>
          <w:tcPr>
            <w:tcW w:w="3389" w:type="pct"/>
            <w:gridSpan w:val="7"/>
          </w:tcPr>
          <w:p w:rsidR="0051778D" w:rsidRPr="0051778D" w:rsidRDefault="0051778D" w:rsidP="0051778D">
            <w:pPr>
              <w:pStyle w:val="TableParagraph"/>
              <w:ind w:left="65" w:right="-15"/>
              <w:jc w:val="center"/>
              <w:rPr>
                <w:sz w:val="20"/>
                <w:szCs w:val="20"/>
              </w:rPr>
            </w:pPr>
            <w:proofErr w:type="spellStart"/>
            <w:r w:rsidRPr="0051778D">
              <w:rPr>
                <w:sz w:val="20"/>
                <w:szCs w:val="20"/>
              </w:rPr>
              <w:t>Публикација</w:t>
            </w:r>
            <w:proofErr w:type="spellEnd"/>
          </w:p>
        </w:tc>
        <w:tc>
          <w:tcPr>
            <w:tcW w:w="496" w:type="pct"/>
          </w:tcPr>
          <w:p w:rsidR="0051778D" w:rsidRPr="0051778D" w:rsidRDefault="0051778D" w:rsidP="0051778D">
            <w:pPr>
              <w:pStyle w:val="TableParagraph"/>
              <w:spacing w:before="8"/>
              <w:jc w:val="center"/>
              <w:rPr>
                <w:sz w:val="20"/>
                <w:szCs w:val="20"/>
              </w:rPr>
            </w:pPr>
            <w:r w:rsidRPr="0051778D">
              <w:rPr>
                <w:sz w:val="20"/>
                <w:szCs w:val="20"/>
              </w:rPr>
              <w:t>ISI</w:t>
            </w:r>
          </w:p>
        </w:tc>
        <w:tc>
          <w:tcPr>
            <w:tcW w:w="413" w:type="pct"/>
            <w:gridSpan w:val="2"/>
          </w:tcPr>
          <w:p w:rsidR="0051778D" w:rsidRPr="0051778D" w:rsidRDefault="0051778D" w:rsidP="0051778D">
            <w:pPr>
              <w:pStyle w:val="TableParagraph"/>
              <w:spacing w:before="8"/>
              <w:jc w:val="center"/>
              <w:rPr>
                <w:sz w:val="20"/>
                <w:szCs w:val="20"/>
              </w:rPr>
            </w:pPr>
            <w:r w:rsidRPr="0051778D">
              <w:rPr>
                <w:sz w:val="20"/>
                <w:szCs w:val="20"/>
              </w:rPr>
              <w:t>M</w:t>
            </w:r>
          </w:p>
        </w:tc>
        <w:tc>
          <w:tcPr>
            <w:tcW w:w="454" w:type="pct"/>
          </w:tcPr>
          <w:p w:rsidR="0051778D" w:rsidRPr="0051778D" w:rsidRDefault="0051778D" w:rsidP="0051778D">
            <w:pPr>
              <w:pStyle w:val="TableParagraph"/>
              <w:spacing w:before="8"/>
              <w:jc w:val="center"/>
              <w:rPr>
                <w:sz w:val="20"/>
                <w:szCs w:val="20"/>
              </w:rPr>
            </w:pPr>
            <w:r w:rsidRPr="0051778D">
              <w:rPr>
                <w:sz w:val="20"/>
                <w:szCs w:val="20"/>
              </w:rPr>
              <w:t>IF</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1.</w:t>
            </w:r>
          </w:p>
        </w:tc>
        <w:tc>
          <w:tcPr>
            <w:tcW w:w="3389" w:type="pct"/>
            <w:gridSpan w:val="7"/>
          </w:tcPr>
          <w:p w:rsidR="00F834EE" w:rsidRDefault="00F834EE" w:rsidP="00F834EE">
            <w:pPr>
              <w:jc w:val="both"/>
            </w:pPr>
            <w:r w:rsidRPr="00E22CF8">
              <w:t>Maurovich-Horvat P</w:t>
            </w:r>
            <w:r>
              <w:t>,</w:t>
            </w:r>
            <w:r w:rsidRPr="00E22CF8">
              <w:t> </w:t>
            </w:r>
            <w:hyperlink r:id="rId6" w:history="1">
              <w:r w:rsidRPr="00E22CF8">
                <w:rPr>
                  <w:rStyle w:val="Hyperlink"/>
                  <w:u w:val="none"/>
                </w:rPr>
                <w:t>... </w:t>
              </w:r>
            </w:hyperlink>
            <w:r w:rsidRPr="00F834EE">
              <w:rPr>
                <w:b/>
              </w:rPr>
              <w:t>Cemerlic-Adjic N</w:t>
            </w:r>
            <w:r>
              <w:t>,</w:t>
            </w:r>
            <w:r w:rsidRPr="00E22CF8">
              <w:t> </w:t>
            </w:r>
            <w:hyperlink r:id="rId7" w:history="1">
              <w:r w:rsidRPr="00E22CF8">
                <w:rPr>
                  <w:rStyle w:val="Hyperlink"/>
                  <w:u w:val="none"/>
                </w:rPr>
                <w:t>... </w:t>
              </w:r>
            </w:hyperlink>
            <w:r w:rsidRPr="00E22CF8">
              <w:t>Vidakovic R</w:t>
            </w:r>
            <w:r>
              <w:t>,</w:t>
            </w:r>
            <w:r w:rsidRPr="00E22CF8">
              <w:t> </w:t>
            </w:r>
            <w:hyperlink r:id="rId8" w:history="1">
              <w:r w:rsidRPr="00E22CF8">
                <w:rPr>
                  <w:rStyle w:val="Hyperlink"/>
                  <w:u w:val="none"/>
                </w:rPr>
                <w:t>... </w:t>
              </w:r>
            </w:hyperlink>
            <w:r w:rsidRPr="00E22CF8">
              <w:t>Adic F</w:t>
            </w:r>
            <w:r>
              <w:t>,</w:t>
            </w:r>
            <w:r w:rsidRPr="00E22CF8">
              <w:t> </w:t>
            </w:r>
            <w:hyperlink r:id="rId9" w:history="1">
              <w:r w:rsidRPr="00E22CF8">
                <w:rPr>
                  <w:rStyle w:val="Hyperlink"/>
                  <w:u w:val="none"/>
                </w:rPr>
                <w:t>... </w:t>
              </w:r>
            </w:hyperlink>
            <w:r w:rsidRPr="00E22CF8">
              <w:t>Neskovic</w:t>
            </w:r>
            <w:r>
              <w:t xml:space="preserve"> A,  </w:t>
            </w:r>
            <w:hyperlink r:id="rId10" w:history="1">
              <w:r>
                <w:rPr>
                  <w:rStyle w:val="Hyperlink"/>
                </w:rPr>
                <w:t>... </w:t>
              </w:r>
            </w:hyperlink>
            <w:r>
              <w:fldChar w:fldCharType="begin"/>
            </w:r>
            <w:r>
              <w:instrText xml:space="preserve"> HYPERLINK "https://kobson.nb.rs/nauka_u_srbiji.132.html?autor=(broj%20koautora%2081)" </w:instrText>
            </w:r>
            <w:r>
              <w:fldChar w:fldCharType="separate"/>
            </w:r>
            <w:r>
              <w:rPr>
                <w:rStyle w:val="Hyperlink"/>
              </w:rPr>
              <w:t>(broj koautora 81) </w:t>
            </w:r>
            <w:r>
              <w:fldChar w:fldCharType="end"/>
            </w:r>
            <w:r>
              <w:t xml:space="preserve">. </w:t>
            </w:r>
            <w:r>
              <w:fldChar w:fldCharType="begin"/>
            </w:r>
            <w:r>
              <w:instrText xml:space="preserve"> HYPERLINK "https://www.nejm.org/doi/10.1056/NEJMoa2200963" </w:instrText>
            </w:r>
            <w:r>
              <w:fldChar w:fldCharType="separate"/>
            </w:r>
            <w:r w:rsidRPr="00F834EE">
              <w:rPr>
                <w:rStyle w:val="Hyperlink"/>
              </w:rPr>
              <w:t>CT or Invasive Coronary Angiography in Stable Chest Pain</w:t>
            </w:r>
            <w:r>
              <w:fldChar w:fldCharType="end"/>
            </w:r>
            <w:r>
              <w:t xml:space="preserve">. </w:t>
            </w:r>
            <w:r w:rsidRPr="00E22CF8">
              <w:t>New E</w:t>
            </w:r>
            <w:r>
              <w:t>ngl</w:t>
            </w:r>
            <w:r w:rsidRPr="00E22CF8">
              <w:t xml:space="preserve"> J Med</w:t>
            </w:r>
            <w:r>
              <w:t>. 2022;386(17):1591-602. DOI 10.1056/NEJMoa2200963</w:t>
            </w:r>
          </w:p>
        </w:tc>
        <w:tc>
          <w:tcPr>
            <w:tcW w:w="496" w:type="pct"/>
            <w:vAlign w:val="center"/>
          </w:tcPr>
          <w:p w:rsidR="00F834EE" w:rsidRDefault="00F834EE" w:rsidP="005734A6">
            <w:pPr>
              <w:jc w:val="center"/>
            </w:pPr>
            <w:r>
              <w:t>2/168</w:t>
            </w:r>
          </w:p>
        </w:tc>
        <w:tc>
          <w:tcPr>
            <w:tcW w:w="413" w:type="pct"/>
            <w:gridSpan w:val="2"/>
            <w:vAlign w:val="center"/>
          </w:tcPr>
          <w:p w:rsidR="00F834EE" w:rsidRDefault="00F834EE" w:rsidP="005734A6">
            <w:pPr>
              <w:jc w:val="center"/>
            </w:pPr>
            <w:r>
              <w:t>21a</w:t>
            </w:r>
          </w:p>
        </w:tc>
        <w:tc>
          <w:tcPr>
            <w:tcW w:w="454" w:type="pct"/>
            <w:vAlign w:val="center"/>
          </w:tcPr>
          <w:p w:rsidR="00F834EE" w:rsidRDefault="00F834EE" w:rsidP="005734A6">
            <w:pPr>
              <w:jc w:val="center"/>
            </w:pPr>
            <w:r>
              <w:t>158.5</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2.</w:t>
            </w:r>
          </w:p>
        </w:tc>
        <w:tc>
          <w:tcPr>
            <w:tcW w:w="3389" w:type="pct"/>
            <w:gridSpan w:val="7"/>
          </w:tcPr>
          <w:p w:rsidR="00F834EE" w:rsidRPr="005D716D" w:rsidRDefault="00F834EE" w:rsidP="00611C11">
            <w:pPr>
              <w:jc w:val="both"/>
            </w:pPr>
            <w:r>
              <w:t xml:space="preserve">Rieckmann N, Neumann K, Feger S, ..., Adjić F, </w:t>
            </w:r>
            <w:r w:rsidRPr="00611C11">
              <w:rPr>
                <w:b/>
              </w:rPr>
              <w:t>Čemerlić Adjić N</w:t>
            </w:r>
            <w:r>
              <w:t xml:space="preserve">, ..., et al. </w:t>
            </w:r>
            <w:r>
              <w:fldChar w:fldCharType="begin"/>
            </w:r>
            <w:r>
              <w:instrText xml:space="preserve"> HYPERLINK "https://www.ncbi.nlm.nih.gov/pmc/articles/PMC7222590/pdf/12955_2020_Article_1312.pdf" </w:instrText>
            </w:r>
            <w:r>
              <w:fldChar w:fldCharType="separate"/>
            </w:r>
            <w:r w:rsidRPr="00611C11">
              <w:rPr>
                <w:rStyle w:val="Hyperlink"/>
              </w:rPr>
              <w:t>Health-related qualify of life, angina type and coronary artery disease in patients with stable chest pain</w:t>
            </w:r>
            <w:r>
              <w:fldChar w:fldCharType="end"/>
            </w:r>
            <w:r>
              <w:t>. Health Qual Life Outcomes. 2020 May 14;18(1):140.</w:t>
            </w:r>
          </w:p>
        </w:tc>
        <w:tc>
          <w:tcPr>
            <w:tcW w:w="496" w:type="pct"/>
            <w:vAlign w:val="center"/>
          </w:tcPr>
          <w:p w:rsidR="00F834EE" w:rsidRPr="005D716D" w:rsidRDefault="00F834EE" w:rsidP="005734A6">
            <w:pPr>
              <w:jc w:val="center"/>
            </w:pPr>
            <w:r>
              <w:t>43/108</w:t>
            </w:r>
          </w:p>
        </w:tc>
        <w:tc>
          <w:tcPr>
            <w:tcW w:w="413" w:type="pct"/>
            <w:gridSpan w:val="2"/>
            <w:vAlign w:val="center"/>
          </w:tcPr>
          <w:p w:rsidR="00F834EE" w:rsidRPr="005D716D" w:rsidRDefault="00F834EE" w:rsidP="005734A6">
            <w:pPr>
              <w:jc w:val="center"/>
            </w:pPr>
            <w:r>
              <w:t>22</w:t>
            </w:r>
          </w:p>
        </w:tc>
        <w:tc>
          <w:tcPr>
            <w:tcW w:w="454" w:type="pct"/>
            <w:vAlign w:val="center"/>
          </w:tcPr>
          <w:p w:rsidR="00F834EE" w:rsidRPr="005D716D" w:rsidRDefault="00F834EE" w:rsidP="005734A6">
            <w:pPr>
              <w:jc w:val="center"/>
            </w:pPr>
            <w:r>
              <w:t>3.186</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3.</w:t>
            </w:r>
          </w:p>
        </w:tc>
        <w:tc>
          <w:tcPr>
            <w:tcW w:w="3389" w:type="pct"/>
            <w:gridSpan w:val="7"/>
          </w:tcPr>
          <w:p w:rsidR="00F834EE" w:rsidRPr="005D716D" w:rsidRDefault="00F834EE" w:rsidP="00611C11">
            <w:pPr>
              <w:jc w:val="both"/>
            </w:pPr>
            <w:r>
              <w:t>Hochman JS, Reynolds HR, Bangalore S, ...et al , ISCHEMIA Research Group (</w:t>
            </w:r>
            <w:r w:rsidRPr="005D716D">
              <w:rPr>
                <w:b/>
              </w:rPr>
              <w:t>Čemerlić-Ađić N</w:t>
            </w:r>
            <w:r>
              <w:t xml:space="preserve">). </w:t>
            </w:r>
            <w:hyperlink r:id="rId11" w:history="1">
              <w:r w:rsidRPr="00611C11">
                <w:rPr>
                  <w:rStyle w:val="Hyperlink"/>
                </w:rPr>
                <w:t>Baseline Characteristics and Risk Profiles of Participants in the ISCHEMIA Randomized Clinical Trial</w:t>
              </w:r>
            </w:hyperlink>
            <w:r>
              <w:t>. JAMA Cardiol. 2019 Mar 1;4(3):273-86.</w:t>
            </w:r>
          </w:p>
        </w:tc>
        <w:tc>
          <w:tcPr>
            <w:tcW w:w="496" w:type="pct"/>
            <w:vAlign w:val="center"/>
          </w:tcPr>
          <w:p w:rsidR="00F834EE" w:rsidRPr="005D716D" w:rsidRDefault="00F834EE" w:rsidP="005734A6">
            <w:pPr>
              <w:jc w:val="center"/>
            </w:pPr>
            <w:r>
              <w:t>6/138</w:t>
            </w:r>
          </w:p>
        </w:tc>
        <w:tc>
          <w:tcPr>
            <w:tcW w:w="413" w:type="pct"/>
            <w:gridSpan w:val="2"/>
            <w:vAlign w:val="center"/>
          </w:tcPr>
          <w:p w:rsidR="00F834EE" w:rsidRPr="005D716D" w:rsidRDefault="00F834EE" w:rsidP="005734A6">
            <w:pPr>
              <w:jc w:val="center"/>
            </w:pPr>
            <w:r>
              <w:t>21a</w:t>
            </w:r>
          </w:p>
        </w:tc>
        <w:tc>
          <w:tcPr>
            <w:tcW w:w="454" w:type="pct"/>
            <w:vAlign w:val="center"/>
          </w:tcPr>
          <w:p w:rsidR="00F834EE" w:rsidRPr="005D716D" w:rsidRDefault="00F834EE" w:rsidP="005734A6">
            <w:pPr>
              <w:jc w:val="center"/>
            </w:pPr>
            <w:r>
              <w:t>12.794</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4.</w:t>
            </w:r>
          </w:p>
        </w:tc>
        <w:tc>
          <w:tcPr>
            <w:tcW w:w="3389" w:type="pct"/>
            <w:gridSpan w:val="7"/>
          </w:tcPr>
          <w:p w:rsidR="00F834EE" w:rsidRPr="005D716D" w:rsidRDefault="00F834EE" w:rsidP="005734A6">
            <w:pPr>
              <w:jc w:val="both"/>
            </w:pPr>
            <w:r w:rsidRPr="005D716D">
              <w:t xml:space="preserve">Redžek A, Mironicki M, Gvozdenović A, Petrović M, </w:t>
            </w:r>
            <w:r w:rsidRPr="005D716D">
              <w:rPr>
                <w:b/>
              </w:rPr>
              <w:t>Čemerlić-Ađić N</w:t>
            </w:r>
            <w:r w:rsidRPr="005D716D">
              <w:t xml:space="preserve">, Ilić A, Velicki L. </w:t>
            </w:r>
            <w:r w:rsidRPr="005D716D">
              <w:fldChar w:fldCharType="begin"/>
            </w:r>
            <w:r w:rsidRPr="005D716D">
              <w:instrText xml:space="preserve"> HYPERLINK "http://onlinelibrary.wiley.com/doi/10.1111/jocs.12441/pdf" </w:instrText>
            </w:r>
            <w:r w:rsidRPr="005D716D">
              <w:fldChar w:fldCharType="separate"/>
            </w:r>
            <w:r w:rsidRPr="005D716D">
              <w:rPr>
                <w:rStyle w:val="Hyperlink"/>
              </w:rPr>
              <w:t>Predictors for hospital readmission after cardiac surgery</w:t>
            </w:r>
            <w:r w:rsidRPr="005D716D">
              <w:fldChar w:fldCharType="end"/>
            </w:r>
            <w:r w:rsidRPr="005D716D">
              <w:t>. J Card Surg. 2015;30(1):1-6.</w:t>
            </w:r>
          </w:p>
        </w:tc>
        <w:tc>
          <w:tcPr>
            <w:tcW w:w="496" w:type="pct"/>
            <w:vAlign w:val="center"/>
          </w:tcPr>
          <w:p w:rsidR="00F834EE" w:rsidRPr="005D716D" w:rsidRDefault="00F834EE" w:rsidP="005734A6">
            <w:pPr>
              <w:jc w:val="center"/>
            </w:pPr>
            <w:r w:rsidRPr="005D716D">
              <w:t>157/199</w:t>
            </w:r>
          </w:p>
        </w:tc>
        <w:tc>
          <w:tcPr>
            <w:tcW w:w="413" w:type="pct"/>
            <w:gridSpan w:val="2"/>
            <w:vAlign w:val="center"/>
          </w:tcPr>
          <w:p w:rsidR="00F834EE" w:rsidRPr="005D716D" w:rsidRDefault="00F834EE" w:rsidP="005734A6">
            <w:pPr>
              <w:jc w:val="center"/>
            </w:pPr>
            <w:r w:rsidRPr="005D716D">
              <w:t>23</w:t>
            </w:r>
          </w:p>
        </w:tc>
        <w:tc>
          <w:tcPr>
            <w:tcW w:w="454" w:type="pct"/>
            <w:vAlign w:val="center"/>
          </w:tcPr>
          <w:p w:rsidR="00F834EE" w:rsidRPr="005D716D" w:rsidRDefault="00F834EE" w:rsidP="005734A6">
            <w:pPr>
              <w:jc w:val="center"/>
            </w:pPr>
            <w:r w:rsidRPr="005D716D">
              <w:t>0.783</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5.</w:t>
            </w:r>
          </w:p>
        </w:tc>
        <w:tc>
          <w:tcPr>
            <w:tcW w:w="3389" w:type="pct"/>
            <w:gridSpan w:val="7"/>
          </w:tcPr>
          <w:p w:rsidR="00F834EE" w:rsidRPr="005D716D" w:rsidRDefault="00F834EE" w:rsidP="005734A6">
            <w:pPr>
              <w:jc w:val="both"/>
            </w:pPr>
            <w:r w:rsidRPr="005D716D">
              <w:t xml:space="preserve">Velicki L, </w:t>
            </w:r>
            <w:r w:rsidRPr="005D716D">
              <w:rPr>
                <w:b/>
              </w:rPr>
              <w:t>Cemerlic-Adjic N</w:t>
            </w:r>
            <w:r w:rsidRPr="005D716D">
              <w:t xml:space="preserve">, Pavlovic K, Mihajlovic BB, Bankovic D, Mihajlovic B, Fabri M. Clinical performances of the EuroSCORE II Risk Stratification Model compared with Old EuroSCORE Models Reply. Reply by the authors of the original article. </w:t>
            </w:r>
            <w:r>
              <w:t xml:space="preserve">(Letter) </w:t>
            </w:r>
            <w:r w:rsidRPr="005D716D">
              <w:t>Thorac Cardiovasc Surg. 2014;62(7):635-6.</w:t>
            </w:r>
          </w:p>
        </w:tc>
        <w:tc>
          <w:tcPr>
            <w:tcW w:w="496" w:type="pct"/>
            <w:vAlign w:val="center"/>
          </w:tcPr>
          <w:p w:rsidR="00F834EE" w:rsidRPr="005D716D" w:rsidRDefault="00F834EE" w:rsidP="005734A6">
            <w:pPr>
              <w:jc w:val="center"/>
            </w:pPr>
            <w:r w:rsidRPr="005D716D">
              <w:t>102/123</w:t>
            </w:r>
          </w:p>
        </w:tc>
        <w:tc>
          <w:tcPr>
            <w:tcW w:w="413" w:type="pct"/>
            <w:gridSpan w:val="2"/>
            <w:vAlign w:val="center"/>
          </w:tcPr>
          <w:p w:rsidR="00F834EE" w:rsidRPr="005D716D" w:rsidRDefault="00F834EE" w:rsidP="00F00D4B">
            <w:pPr>
              <w:jc w:val="center"/>
            </w:pPr>
            <w:r w:rsidRPr="005D716D">
              <w:t>26</w:t>
            </w:r>
          </w:p>
        </w:tc>
        <w:tc>
          <w:tcPr>
            <w:tcW w:w="454" w:type="pct"/>
            <w:vAlign w:val="center"/>
          </w:tcPr>
          <w:p w:rsidR="00F834EE" w:rsidRPr="005D716D" w:rsidRDefault="00F834EE" w:rsidP="005734A6">
            <w:pPr>
              <w:jc w:val="center"/>
            </w:pPr>
            <w:r w:rsidRPr="005D716D">
              <w:t>0.979</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6.</w:t>
            </w:r>
          </w:p>
        </w:tc>
        <w:tc>
          <w:tcPr>
            <w:tcW w:w="3389" w:type="pct"/>
            <w:gridSpan w:val="7"/>
          </w:tcPr>
          <w:p w:rsidR="00F834EE" w:rsidRPr="005D716D" w:rsidRDefault="00F834EE" w:rsidP="005734A6">
            <w:pPr>
              <w:jc w:val="both"/>
            </w:pPr>
            <w:r w:rsidRPr="005D716D">
              <w:rPr>
                <w:b/>
              </w:rPr>
              <w:t>Čemerlić-Ađić N</w:t>
            </w:r>
            <w:r w:rsidRPr="005D716D">
              <w:t xml:space="preserve">, Pavlović K, Jevtić M, Velicki R, Kostovski S, Velicki L. </w:t>
            </w:r>
            <w:r w:rsidRPr="005D716D">
              <w:fldChar w:fldCharType="begin"/>
            </w:r>
            <w:r w:rsidRPr="005D716D">
              <w:instrText xml:space="preserve"> HYPERLINK "http://www.doiserbia.nb.rs/img/doi/0042-8450/2014/0042-84501401027C.pdf" </w:instrText>
            </w:r>
            <w:r w:rsidRPr="005D716D">
              <w:fldChar w:fldCharType="separate"/>
            </w:r>
            <w:r w:rsidRPr="005D716D">
              <w:rPr>
                <w:rStyle w:val="Hyperlink"/>
              </w:rPr>
              <w:t>The impact of obesity on early mortality after coronary artery bypass grafting</w:t>
            </w:r>
            <w:r w:rsidRPr="005D716D">
              <w:fldChar w:fldCharType="end"/>
            </w:r>
            <w:r w:rsidRPr="005D716D">
              <w:t xml:space="preserve">. Vojnosanit Pregl. </w:t>
            </w:r>
            <w:r w:rsidRPr="005D716D">
              <w:lastRenderedPageBreak/>
              <w:t>2014;71(1):27-32.</w:t>
            </w:r>
          </w:p>
        </w:tc>
        <w:tc>
          <w:tcPr>
            <w:tcW w:w="496" w:type="pct"/>
            <w:vAlign w:val="center"/>
          </w:tcPr>
          <w:p w:rsidR="00F834EE" w:rsidRPr="005D716D" w:rsidRDefault="00F834EE" w:rsidP="005734A6">
            <w:pPr>
              <w:jc w:val="center"/>
            </w:pPr>
            <w:r w:rsidRPr="005D716D">
              <w:lastRenderedPageBreak/>
              <w:t>141/154</w:t>
            </w:r>
          </w:p>
        </w:tc>
        <w:tc>
          <w:tcPr>
            <w:tcW w:w="413" w:type="pct"/>
            <w:gridSpan w:val="2"/>
            <w:vAlign w:val="center"/>
          </w:tcPr>
          <w:p w:rsidR="00F834EE" w:rsidRPr="005D716D" w:rsidRDefault="00F834EE" w:rsidP="005734A6">
            <w:pPr>
              <w:jc w:val="center"/>
            </w:pPr>
            <w:r w:rsidRPr="005D716D">
              <w:t xml:space="preserve">23 </w:t>
            </w:r>
          </w:p>
        </w:tc>
        <w:tc>
          <w:tcPr>
            <w:tcW w:w="454" w:type="pct"/>
            <w:vAlign w:val="center"/>
          </w:tcPr>
          <w:p w:rsidR="00F834EE" w:rsidRPr="005D716D" w:rsidRDefault="00F834EE" w:rsidP="005734A6">
            <w:pPr>
              <w:jc w:val="center"/>
            </w:pPr>
            <w:r w:rsidRPr="005D716D">
              <w:t>0.292</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lastRenderedPageBreak/>
              <w:t>7.</w:t>
            </w:r>
          </w:p>
        </w:tc>
        <w:tc>
          <w:tcPr>
            <w:tcW w:w="3389" w:type="pct"/>
            <w:gridSpan w:val="7"/>
          </w:tcPr>
          <w:p w:rsidR="00F834EE" w:rsidRPr="005D716D" w:rsidRDefault="00F834EE" w:rsidP="005734A6">
            <w:pPr>
              <w:jc w:val="both"/>
            </w:pPr>
            <w:r w:rsidRPr="005D716D">
              <w:t xml:space="preserve">Velicki L, </w:t>
            </w:r>
            <w:r w:rsidRPr="005D716D">
              <w:rPr>
                <w:b/>
              </w:rPr>
              <w:t>Cemerlic-Adjic N</w:t>
            </w:r>
            <w:r w:rsidRPr="005D716D">
              <w:t>, Pavlovic K, Mihajlovic BB, Bankovic D, Mihajlovic B, Fabri M. Clinical performance of the EuroSCORE II compared with the previous EuroSCORE iterations. Thorac Cardiovasc Surg. 2014;62:288-97.</w:t>
            </w:r>
          </w:p>
        </w:tc>
        <w:tc>
          <w:tcPr>
            <w:tcW w:w="496" w:type="pct"/>
            <w:vAlign w:val="center"/>
          </w:tcPr>
          <w:p w:rsidR="00F834EE" w:rsidRPr="005D716D" w:rsidRDefault="00F834EE" w:rsidP="005734A6">
            <w:pPr>
              <w:jc w:val="center"/>
            </w:pPr>
            <w:r w:rsidRPr="005D716D">
              <w:t>102/123</w:t>
            </w:r>
          </w:p>
        </w:tc>
        <w:tc>
          <w:tcPr>
            <w:tcW w:w="413" w:type="pct"/>
            <w:gridSpan w:val="2"/>
            <w:vAlign w:val="center"/>
          </w:tcPr>
          <w:p w:rsidR="00F834EE" w:rsidRPr="005D716D" w:rsidRDefault="00F834EE" w:rsidP="005734A6">
            <w:pPr>
              <w:jc w:val="center"/>
            </w:pPr>
          </w:p>
          <w:p w:rsidR="00F834EE" w:rsidRPr="005D716D" w:rsidRDefault="00F834EE" w:rsidP="005734A6">
            <w:pPr>
              <w:jc w:val="center"/>
            </w:pPr>
            <w:r w:rsidRPr="005D716D">
              <w:t>23</w:t>
            </w:r>
          </w:p>
          <w:p w:rsidR="00F834EE" w:rsidRPr="005D716D" w:rsidRDefault="00F834EE" w:rsidP="005734A6">
            <w:pPr>
              <w:jc w:val="center"/>
            </w:pPr>
          </w:p>
        </w:tc>
        <w:tc>
          <w:tcPr>
            <w:tcW w:w="454" w:type="pct"/>
            <w:vAlign w:val="center"/>
          </w:tcPr>
          <w:p w:rsidR="00F834EE" w:rsidRPr="005D716D" w:rsidRDefault="00F834EE" w:rsidP="005734A6">
            <w:pPr>
              <w:jc w:val="center"/>
            </w:pPr>
            <w:r w:rsidRPr="005D716D">
              <w:t>0.979</w:t>
            </w:r>
          </w:p>
        </w:tc>
      </w:tr>
      <w:tr w:rsidR="00F834EE" w:rsidRPr="0051778D" w:rsidTr="00103C38">
        <w:trPr>
          <w:trHeight w:val="227"/>
          <w:jc w:val="center"/>
        </w:trPr>
        <w:tc>
          <w:tcPr>
            <w:tcW w:w="248" w:type="pct"/>
            <w:vAlign w:val="center"/>
          </w:tcPr>
          <w:p w:rsidR="00F834EE" w:rsidRPr="005D716D" w:rsidRDefault="00F834EE" w:rsidP="00C200CF">
            <w:pPr>
              <w:jc w:val="center"/>
            </w:pPr>
            <w:r w:rsidRPr="005D716D">
              <w:t>8.</w:t>
            </w:r>
          </w:p>
        </w:tc>
        <w:tc>
          <w:tcPr>
            <w:tcW w:w="3389" w:type="pct"/>
            <w:gridSpan w:val="7"/>
            <w:vAlign w:val="center"/>
          </w:tcPr>
          <w:p w:rsidR="00F834EE" w:rsidRPr="005D716D" w:rsidRDefault="00F834EE" w:rsidP="005734A6">
            <w:pPr>
              <w:jc w:val="both"/>
              <w:rPr>
                <w:lang w:val="en-US"/>
              </w:rPr>
            </w:pPr>
            <w:proofErr w:type="spellStart"/>
            <w:r w:rsidRPr="005D716D">
              <w:rPr>
                <w:lang w:val="en-US"/>
              </w:rPr>
              <w:t>Velicki</w:t>
            </w:r>
            <w:proofErr w:type="spellEnd"/>
            <w:r w:rsidRPr="005D716D">
              <w:rPr>
                <w:lang w:val="en-US"/>
              </w:rPr>
              <w:t xml:space="preserve"> L, </w:t>
            </w:r>
            <w:r w:rsidRPr="005D716D">
              <w:rPr>
                <w:b/>
              </w:rPr>
              <w:t>Čemerlić-Ađić N</w:t>
            </w:r>
            <w:r w:rsidRPr="005D716D">
              <w:t xml:space="preserve">, Bogdanović D, Mrđanin T. </w:t>
            </w:r>
            <w:r w:rsidRPr="005D716D">
              <w:rPr>
                <w:lang w:val="en-US"/>
              </w:rPr>
              <w:t xml:space="preserve">Rectus sheath </w:t>
            </w:r>
            <w:proofErr w:type="spellStart"/>
            <w:r w:rsidRPr="005D716D">
              <w:rPr>
                <w:lang w:val="en-US"/>
              </w:rPr>
              <w:t>haematoma</w:t>
            </w:r>
            <w:proofErr w:type="spellEnd"/>
            <w:r w:rsidRPr="005D716D">
              <w:rPr>
                <w:lang w:val="en-US"/>
              </w:rPr>
              <w:t xml:space="preserve">: </w:t>
            </w:r>
            <w:proofErr w:type="spellStart"/>
            <w:r w:rsidRPr="005D716D">
              <w:rPr>
                <w:lang w:val="en-US"/>
              </w:rPr>
              <w:t>enoxaparin</w:t>
            </w:r>
            <w:proofErr w:type="spellEnd"/>
            <w:r w:rsidRPr="005D716D">
              <w:rPr>
                <w:lang w:val="en-US"/>
              </w:rPr>
              <w:t xml:space="preserve">-related complication. </w:t>
            </w:r>
            <w:proofErr w:type="spellStart"/>
            <w:r w:rsidRPr="005D716D">
              <w:rPr>
                <w:lang w:val="en-US"/>
              </w:rPr>
              <w:t>Acta</w:t>
            </w:r>
            <w:proofErr w:type="spellEnd"/>
            <w:r w:rsidRPr="005D716D">
              <w:rPr>
                <w:lang w:val="en-US"/>
              </w:rPr>
              <w:t xml:space="preserve"> </w:t>
            </w:r>
            <w:proofErr w:type="spellStart"/>
            <w:r w:rsidRPr="005D716D">
              <w:rPr>
                <w:lang w:val="en-US"/>
              </w:rPr>
              <w:t>Clin</w:t>
            </w:r>
            <w:proofErr w:type="spellEnd"/>
            <w:r w:rsidRPr="005D716D">
              <w:rPr>
                <w:lang w:val="en-US"/>
              </w:rPr>
              <w:t xml:space="preserve"> Belg. 2013</w:t>
            </w:r>
            <w:proofErr w:type="gramStart"/>
            <w:r w:rsidRPr="005D716D">
              <w:rPr>
                <w:lang w:val="en-US"/>
              </w:rPr>
              <w:t>;68</w:t>
            </w:r>
            <w:proofErr w:type="gramEnd"/>
            <w:r w:rsidRPr="005D716D">
              <w:rPr>
                <w:lang w:val="en-US"/>
              </w:rPr>
              <w:t>(2):147-9.</w:t>
            </w:r>
          </w:p>
        </w:tc>
        <w:tc>
          <w:tcPr>
            <w:tcW w:w="496" w:type="pct"/>
            <w:vAlign w:val="center"/>
          </w:tcPr>
          <w:p w:rsidR="00F834EE" w:rsidRPr="005D716D" w:rsidRDefault="00F834EE" w:rsidP="005734A6">
            <w:pPr>
              <w:jc w:val="center"/>
            </w:pPr>
            <w:r w:rsidRPr="005D716D">
              <w:t>109/156</w:t>
            </w:r>
          </w:p>
        </w:tc>
        <w:tc>
          <w:tcPr>
            <w:tcW w:w="413" w:type="pct"/>
            <w:gridSpan w:val="2"/>
            <w:vAlign w:val="center"/>
          </w:tcPr>
          <w:p w:rsidR="00F834EE" w:rsidRPr="005D716D" w:rsidRDefault="00F834EE" w:rsidP="005734A6">
            <w:pPr>
              <w:jc w:val="center"/>
            </w:pPr>
            <w:r w:rsidRPr="005D716D">
              <w:t>23</w:t>
            </w:r>
          </w:p>
        </w:tc>
        <w:tc>
          <w:tcPr>
            <w:tcW w:w="454" w:type="pct"/>
            <w:vAlign w:val="center"/>
          </w:tcPr>
          <w:p w:rsidR="00F834EE" w:rsidRPr="005D716D" w:rsidRDefault="00F834EE" w:rsidP="005734A6">
            <w:pPr>
              <w:jc w:val="center"/>
            </w:pPr>
            <w:r w:rsidRPr="005D716D">
              <w:t>0.713</w:t>
            </w:r>
          </w:p>
        </w:tc>
      </w:tr>
      <w:tr w:rsidR="00F834EE" w:rsidRPr="0051778D" w:rsidTr="00103C38">
        <w:trPr>
          <w:trHeight w:val="227"/>
          <w:jc w:val="center"/>
        </w:trPr>
        <w:tc>
          <w:tcPr>
            <w:tcW w:w="248" w:type="pct"/>
            <w:vAlign w:val="center"/>
          </w:tcPr>
          <w:p w:rsidR="00F834EE" w:rsidRPr="005D716D" w:rsidRDefault="00F834EE" w:rsidP="00C200CF">
            <w:pPr>
              <w:jc w:val="center"/>
            </w:pPr>
            <w:r>
              <w:t>9.</w:t>
            </w:r>
          </w:p>
        </w:tc>
        <w:tc>
          <w:tcPr>
            <w:tcW w:w="3389" w:type="pct"/>
            <w:gridSpan w:val="7"/>
            <w:vAlign w:val="center"/>
          </w:tcPr>
          <w:p w:rsidR="00F834EE" w:rsidRPr="005D716D" w:rsidRDefault="00F834EE" w:rsidP="005734A6">
            <w:pPr>
              <w:jc w:val="both"/>
              <w:rPr>
                <w:lang w:val="en-US"/>
              </w:rPr>
            </w:pPr>
            <w:proofErr w:type="spellStart"/>
            <w:r w:rsidRPr="005D716D">
              <w:rPr>
                <w:lang w:val="en-US"/>
              </w:rPr>
              <w:t>Velicki</w:t>
            </w:r>
            <w:proofErr w:type="spellEnd"/>
            <w:r w:rsidRPr="005D716D">
              <w:rPr>
                <w:lang w:val="en-US"/>
              </w:rPr>
              <w:t xml:space="preserve"> L, </w:t>
            </w:r>
            <w:proofErr w:type="spellStart"/>
            <w:r w:rsidRPr="005D716D">
              <w:rPr>
                <w:b/>
                <w:lang w:val="en-US"/>
              </w:rPr>
              <w:t>Cemerlic-Adjic</w:t>
            </w:r>
            <w:proofErr w:type="spellEnd"/>
            <w:r w:rsidRPr="005D716D">
              <w:rPr>
                <w:b/>
                <w:lang w:val="en-US"/>
              </w:rPr>
              <w:t xml:space="preserve"> N</w:t>
            </w:r>
            <w:r w:rsidRPr="005D716D">
              <w:rPr>
                <w:lang w:val="en-US"/>
              </w:rPr>
              <w:t xml:space="preserve">, Panic G, Jung R, </w:t>
            </w:r>
            <w:proofErr w:type="spellStart"/>
            <w:r w:rsidRPr="005D716D">
              <w:rPr>
                <w:lang w:val="en-US"/>
              </w:rPr>
              <w:t>Redzek</w:t>
            </w:r>
            <w:proofErr w:type="spellEnd"/>
            <w:r w:rsidRPr="005D716D">
              <w:rPr>
                <w:lang w:val="en-US"/>
              </w:rPr>
              <w:t xml:space="preserve"> A, </w:t>
            </w:r>
            <w:proofErr w:type="spellStart"/>
            <w:r w:rsidRPr="005D716D">
              <w:rPr>
                <w:lang w:val="en-US"/>
              </w:rPr>
              <w:t>Nicin</w:t>
            </w:r>
            <w:proofErr w:type="spellEnd"/>
            <w:r w:rsidRPr="005D716D">
              <w:rPr>
                <w:lang w:val="en-US"/>
              </w:rPr>
              <w:t xml:space="preserve"> S. </w:t>
            </w:r>
            <w:hyperlink r:id="rId12" w:history="1">
              <w:r w:rsidRPr="005D716D">
                <w:rPr>
                  <w:rStyle w:val="Hyperlink"/>
                  <w:lang w:val="en-US"/>
                </w:rPr>
                <w:t>CABG mortality is not influenced by prior PCI in low risk patients</w:t>
              </w:r>
            </w:hyperlink>
            <w:r w:rsidRPr="005D716D">
              <w:rPr>
                <w:lang w:val="en-US"/>
              </w:rPr>
              <w:t>. J Card Surg. 2013</w:t>
            </w:r>
            <w:proofErr w:type="gramStart"/>
            <w:r w:rsidRPr="005D716D">
              <w:rPr>
                <w:lang w:val="en-US"/>
              </w:rPr>
              <w:t>;28</w:t>
            </w:r>
            <w:proofErr w:type="gramEnd"/>
            <w:r w:rsidRPr="005D716D">
              <w:rPr>
                <w:lang w:val="en-US"/>
              </w:rPr>
              <w:t>(4):353-8.</w:t>
            </w:r>
          </w:p>
        </w:tc>
        <w:tc>
          <w:tcPr>
            <w:tcW w:w="496" w:type="pct"/>
            <w:vAlign w:val="center"/>
          </w:tcPr>
          <w:p w:rsidR="00F834EE" w:rsidRPr="005D716D" w:rsidRDefault="00F834EE" w:rsidP="005734A6">
            <w:pPr>
              <w:jc w:val="center"/>
            </w:pPr>
            <w:r>
              <w:t>7</w:t>
            </w:r>
            <w:r w:rsidRPr="005D716D">
              <w:t>4/124</w:t>
            </w:r>
          </w:p>
          <w:p w:rsidR="00F834EE" w:rsidRPr="005D716D" w:rsidRDefault="00F834EE" w:rsidP="005734A6">
            <w:pPr>
              <w:jc w:val="center"/>
            </w:pPr>
            <w:r w:rsidRPr="005D716D">
              <w:t>(2012)</w:t>
            </w:r>
          </w:p>
        </w:tc>
        <w:tc>
          <w:tcPr>
            <w:tcW w:w="413" w:type="pct"/>
            <w:gridSpan w:val="2"/>
            <w:vAlign w:val="center"/>
          </w:tcPr>
          <w:p w:rsidR="00F834EE" w:rsidRPr="005D716D" w:rsidRDefault="00F834EE" w:rsidP="005734A6">
            <w:pPr>
              <w:jc w:val="center"/>
            </w:pPr>
            <w:r w:rsidRPr="005D716D">
              <w:t>22</w:t>
            </w:r>
          </w:p>
          <w:p w:rsidR="00F834EE" w:rsidRPr="005D716D" w:rsidRDefault="00F834EE" w:rsidP="005734A6">
            <w:pPr>
              <w:jc w:val="center"/>
            </w:pPr>
            <w:r w:rsidRPr="005D716D">
              <w:t>(2012)</w:t>
            </w:r>
          </w:p>
        </w:tc>
        <w:tc>
          <w:tcPr>
            <w:tcW w:w="454" w:type="pct"/>
            <w:vAlign w:val="center"/>
          </w:tcPr>
          <w:p w:rsidR="00F834EE" w:rsidRPr="005D716D" w:rsidRDefault="00F834EE" w:rsidP="005734A6">
            <w:pPr>
              <w:jc w:val="center"/>
            </w:pPr>
            <w:r w:rsidRPr="005D716D">
              <w:t>1.492</w:t>
            </w:r>
          </w:p>
          <w:p w:rsidR="00F834EE" w:rsidRPr="005D716D" w:rsidRDefault="00F834EE" w:rsidP="005734A6">
            <w:pPr>
              <w:jc w:val="center"/>
            </w:pPr>
            <w:r w:rsidRPr="005D716D">
              <w:t>(2012)</w:t>
            </w:r>
          </w:p>
        </w:tc>
      </w:tr>
      <w:tr w:rsidR="00F834EE" w:rsidRPr="0051778D" w:rsidTr="00103C38">
        <w:trPr>
          <w:trHeight w:val="227"/>
          <w:jc w:val="center"/>
        </w:trPr>
        <w:tc>
          <w:tcPr>
            <w:tcW w:w="248" w:type="pct"/>
            <w:vAlign w:val="center"/>
          </w:tcPr>
          <w:p w:rsidR="00F834EE" w:rsidRPr="005D716D" w:rsidRDefault="00F834EE" w:rsidP="005734A6">
            <w:pPr>
              <w:jc w:val="center"/>
            </w:pPr>
            <w:r>
              <w:t>10.</w:t>
            </w:r>
          </w:p>
        </w:tc>
        <w:tc>
          <w:tcPr>
            <w:tcW w:w="3389" w:type="pct"/>
            <w:gridSpan w:val="7"/>
          </w:tcPr>
          <w:p w:rsidR="00F834EE" w:rsidRPr="005D716D" w:rsidRDefault="00F834EE" w:rsidP="005734A6">
            <w:pPr>
              <w:jc w:val="both"/>
              <w:rPr>
                <w:lang w:val="en-US"/>
              </w:rPr>
            </w:pPr>
            <w:r w:rsidRPr="005D716D">
              <w:t xml:space="preserve">Filipovic N, Nikolic D, Saveljic I, Djukic T, Adjic O, Kovacevic P, </w:t>
            </w:r>
            <w:r w:rsidRPr="005D716D">
              <w:rPr>
                <w:b/>
              </w:rPr>
              <w:t>Cemerlic-Adjic N</w:t>
            </w:r>
            <w:r w:rsidRPr="005D716D">
              <w:t xml:space="preserve">, Velicki L. </w:t>
            </w:r>
            <w:hyperlink r:id="rId13" w:history="1">
              <w:r w:rsidRPr="005D716D">
                <w:rPr>
                  <w:rStyle w:val="Hyperlink"/>
                </w:rPr>
                <w:t>Computer simulation of thromboexclusion of the complete aorta in the treatment of chronic type B aneurysm</w:t>
              </w:r>
            </w:hyperlink>
            <w:r w:rsidRPr="005D716D">
              <w:t>. Comput Aided Surg. 2013</w:t>
            </w:r>
            <w:r w:rsidRPr="005D716D">
              <w:rPr>
                <w:lang w:val="en-US"/>
              </w:rPr>
              <w:t>;18(1-2):1-9.</w:t>
            </w:r>
          </w:p>
        </w:tc>
        <w:tc>
          <w:tcPr>
            <w:tcW w:w="496" w:type="pct"/>
            <w:vAlign w:val="center"/>
          </w:tcPr>
          <w:p w:rsidR="00F834EE" w:rsidRPr="005D716D" w:rsidRDefault="00F834EE" w:rsidP="005734A6">
            <w:pPr>
              <w:jc w:val="center"/>
            </w:pPr>
            <w:r w:rsidRPr="005D716D">
              <w:t>137/204</w:t>
            </w:r>
          </w:p>
        </w:tc>
        <w:tc>
          <w:tcPr>
            <w:tcW w:w="413" w:type="pct"/>
            <w:gridSpan w:val="2"/>
            <w:vAlign w:val="center"/>
          </w:tcPr>
          <w:p w:rsidR="00F834EE" w:rsidRPr="005D716D" w:rsidRDefault="00F834EE" w:rsidP="005734A6">
            <w:pPr>
              <w:jc w:val="center"/>
            </w:pPr>
            <w:r w:rsidRPr="005D716D">
              <w:t>23</w:t>
            </w:r>
          </w:p>
        </w:tc>
        <w:tc>
          <w:tcPr>
            <w:tcW w:w="454" w:type="pct"/>
            <w:vAlign w:val="center"/>
          </w:tcPr>
          <w:p w:rsidR="00F834EE" w:rsidRPr="005D716D" w:rsidRDefault="00F834EE" w:rsidP="005734A6">
            <w:pPr>
              <w:jc w:val="center"/>
            </w:pPr>
            <w:r w:rsidRPr="005D716D">
              <w:t>1.077</w:t>
            </w:r>
          </w:p>
        </w:tc>
      </w:tr>
      <w:tr w:rsidR="00F834EE" w:rsidRPr="0051778D" w:rsidTr="00774809">
        <w:trPr>
          <w:trHeight w:val="227"/>
          <w:jc w:val="center"/>
        </w:trPr>
        <w:tc>
          <w:tcPr>
            <w:tcW w:w="5000" w:type="pct"/>
            <w:gridSpan w:val="12"/>
            <w:vAlign w:val="center"/>
          </w:tcPr>
          <w:p w:rsidR="00F834EE" w:rsidRPr="0051778D" w:rsidRDefault="00F834EE" w:rsidP="0051778D">
            <w:pPr>
              <w:spacing w:after="60"/>
              <w:rPr>
                <w:b/>
                <w:lang w:val="sr-Cyrl-CS"/>
              </w:rPr>
            </w:pPr>
            <w:r w:rsidRPr="0051778D">
              <w:rPr>
                <w:b/>
                <w:lang w:val="sr-Cyrl-CS"/>
              </w:rPr>
              <w:t>Збирни подаци научне активност наставника</w:t>
            </w:r>
          </w:p>
        </w:tc>
      </w:tr>
      <w:tr w:rsidR="00F834EE" w:rsidRPr="0051778D" w:rsidTr="00FD2157">
        <w:trPr>
          <w:trHeight w:val="227"/>
          <w:jc w:val="center"/>
        </w:trPr>
        <w:tc>
          <w:tcPr>
            <w:tcW w:w="2321" w:type="pct"/>
            <w:gridSpan w:val="4"/>
            <w:vAlign w:val="center"/>
          </w:tcPr>
          <w:p w:rsidR="00F834EE" w:rsidRPr="00E94FC9" w:rsidRDefault="00F834EE" w:rsidP="0051778D">
            <w:pPr>
              <w:spacing w:after="60"/>
              <w:rPr>
                <w:lang w:val="sr-Cyrl-CS"/>
              </w:rPr>
            </w:pPr>
            <w:r w:rsidRPr="00E94FC9">
              <w:rPr>
                <w:lang w:val="sr-Cyrl-CS"/>
              </w:rPr>
              <w:t>Укупан број цитата, без аутоцитата</w:t>
            </w:r>
          </w:p>
        </w:tc>
        <w:tc>
          <w:tcPr>
            <w:tcW w:w="2679" w:type="pct"/>
            <w:gridSpan w:val="8"/>
          </w:tcPr>
          <w:p w:rsidR="00F834EE" w:rsidRPr="00E94FC9" w:rsidRDefault="00E94FC9" w:rsidP="0051778D">
            <w:r>
              <w:t>10126</w:t>
            </w:r>
            <w:r w:rsidR="00F834EE" w:rsidRPr="00E94FC9">
              <w:t xml:space="preserve"> (Scopus)</w:t>
            </w:r>
          </w:p>
        </w:tc>
      </w:tr>
      <w:tr w:rsidR="00F834EE" w:rsidRPr="0051778D" w:rsidTr="00FD2157">
        <w:trPr>
          <w:trHeight w:val="227"/>
          <w:jc w:val="center"/>
        </w:trPr>
        <w:tc>
          <w:tcPr>
            <w:tcW w:w="2321" w:type="pct"/>
            <w:gridSpan w:val="4"/>
            <w:vAlign w:val="center"/>
          </w:tcPr>
          <w:p w:rsidR="00F834EE" w:rsidRPr="0051778D" w:rsidRDefault="00F834EE" w:rsidP="0051778D">
            <w:pPr>
              <w:spacing w:after="60"/>
              <w:rPr>
                <w:lang w:val="sr-Cyrl-CS"/>
              </w:rPr>
            </w:pPr>
            <w:r w:rsidRPr="0051778D">
              <w:rPr>
                <w:lang w:val="sr-Cyrl-CS"/>
              </w:rPr>
              <w:t>Укупан број радова са SCI (или SSCI) листе</w:t>
            </w:r>
          </w:p>
        </w:tc>
        <w:tc>
          <w:tcPr>
            <w:tcW w:w="2679" w:type="pct"/>
            <w:gridSpan w:val="8"/>
          </w:tcPr>
          <w:p w:rsidR="00F834EE" w:rsidRPr="0051778D" w:rsidRDefault="00F834EE" w:rsidP="0051778D">
            <w:r>
              <w:t>26</w:t>
            </w:r>
          </w:p>
        </w:tc>
      </w:tr>
      <w:tr w:rsidR="00F834EE" w:rsidRPr="0051778D" w:rsidTr="0051778D">
        <w:trPr>
          <w:trHeight w:val="227"/>
          <w:jc w:val="center"/>
        </w:trPr>
        <w:tc>
          <w:tcPr>
            <w:tcW w:w="2321" w:type="pct"/>
            <w:gridSpan w:val="4"/>
            <w:vAlign w:val="center"/>
          </w:tcPr>
          <w:p w:rsidR="00F834EE" w:rsidRPr="0051778D" w:rsidRDefault="00F834EE" w:rsidP="0051778D">
            <w:pPr>
              <w:spacing w:after="60"/>
              <w:rPr>
                <w:b/>
                <w:lang w:val="sr-Cyrl-CS"/>
              </w:rPr>
            </w:pPr>
            <w:r w:rsidRPr="0051778D">
              <w:rPr>
                <w:lang w:val="sr-Cyrl-CS"/>
              </w:rPr>
              <w:t>Тренутно учешће на пројектима</w:t>
            </w:r>
          </w:p>
        </w:tc>
        <w:tc>
          <w:tcPr>
            <w:tcW w:w="866" w:type="pct"/>
            <w:gridSpan w:val="2"/>
            <w:vAlign w:val="center"/>
          </w:tcPr>
          <w:p w:rsidR="00F834EE" w:rsidRPr="0051778D" w:rsidRDefault="00F834EE" w:rsidP="0051778D">
            <w:pPr>
              <w:spacing w:after="60"/>
              <w:rPr>
                <w:b/>
                <w:lang w:val="sr-Cyrl-CS"/>
              </w:rPr>
            </w:pPr>
            <w:r w:rsidRPr="0051778D">
              <w:rPr>
                <w:lang w:val="sr-Cyrl-CS"/>
              </w:rPr>
              <w:t>Домаћи</w:t>
            </w:r>
            <w:r>
              <w:rPr>
                <w:lang w:val="sr-Cyrl-CS"/>
              </w:rPr>
              <w:t>: -</w:t>
            </w:r>
          </w:p>
        </w:tc>
        <w:tc>
          <w:tcPr>
            <w:tcW w:w="1813" w:type="pct"/>
            <w:gridSpan w:val="6"/>
            <w:vAlign w:val="center"/>
          </w:tcPr>
          <w:p w:rsidR="00F834EE" w:rsidRPr="0051778D" w:rsidRDefault="00F834EE" w:rsidP="0051778D">
            <w:pPr>
              <w:spacing w:after="60"/>
              <w:rPr>
                <w:b/>
                <w:lang w:val="sr-Cyrl-CS"/>
              </w:rPr>
            </w:pPr>
            <w:r w:rsidRPr="0051778D">
              <w:rPr>
                <w:lang w:val="sr-Cyrl-CS"/>
              </w:rPr>
              <w:t>Међународни: 1</w:t>
            </w:r>
          </w:p>
        </w:tc>
      </w:tr>
      <w:tr w:rsidR="00F834EE" w:rsidRPr="0051778D" w:rsidTr="0009094F">
        <w:trPr>
          <w:trHeight w:val="227"/>
          <w:jc w:val="center"/>
        </w:trPr>
        <w:tc>
          <w:tcPr>
            <w:tcW w:w="2321" w:type="pct"/>
            <w:gridSpan w:val="4"/>
            <w:vAlign w:val="center"/>
          </w:tcPr>
          <w:p w:rsidR="00F834EE" w:rsidRPr="0051778D" w:rsidRDefault="00F834EE" w:rsidP="0051778D">
            <w:pPr>
              <w:spacing w:after="60"/>
              <w:rPr>
                <w:b/>
                <w:lang w:val="sr-Cyrl-CS"/>
              </w:rPr>
            </w:pPr>
            <w:r w:rsidRPr="0051778D">
              <w:rPr>
                <w:lang w:val="sr-Cyrl-CS"/>
              </w:rPr>
              <w:t>Усавршавања</w:t>
            </w:r>
          </w:p>
        </w:tc>
        <w:tc>
          <w:tcPr>
            <w:tcW w:w="2679" w:type="pct"/>
            <w:gridSpan w:val="8"/>
          </w:tcPr>
          <w:p w:rsidR="00F834EE" w:rsidRPr="0051778D" w:rsidRDefault="00F834EE" w:rsidP="0051778D">
            <w:pPr>
              <w:rPr>
                <w:lang w:val="sr-Cyrl-CS"/>
              </w:rPr>
            </w:pPr>
            <w:r w:rsidRPr="0051778D">
              <w:rPr>
                <w:lang w:val="sr-Cyrl-CS"/>
              </w:rPr>
              <w:t>Karolinska Institutet, Stockholm, Sweden, 2009; John H. Stroger Jr. Hospital, Chicago, United States, 2009; Providence Saint Joseph Medical Center, LA, United States; 2010</w:t>
            </w:r>
          </w:p>
        </w:tc>
      </w:tr>
      <w:tr w:rsidR="00F834EE" w:rsidRPr="0051778D" w:rsidTr="00774809">
        <w:trPr>
          <w:trHeight w:val="227"/>
          <w:jc w:val="center"/>
        </w:trPr>
        <w:tc>
          <w:tcPr>
            <w:tcW w:w="2321" w:type="pct"/>
            <w:gridSpan w:val="4"/>
            <w:vAlign w:val="center"/>
          </w:tcPr>
          <w:p w:rsidR="00F834EE" w:rsidRPr="0051778D" w:rsidRDefault="00F834EE" w:rsidP="0051778D">
            <w:pPr>
              <w:spacing w:after="60"/>
              <w:rPr>
                <w:b/>
                <w:lang w:val="sr-Cyrl-CS"/>
              </w:rPr>
            </w:pPr>
            <w:r w:rsidRPr="0051778D">
              <w:rPr>
                <w:lang w:val="sr-Cyrl-CS"/>
              </w:rPr>
              <w:t>Други подаци које сматрате релевантним</w:t>
            </w:r>
          </w:p>
        </w:tc>
        <w:tc>
          <w:tcPr>
            <w:tcW w:w="2679" w:type="pct"/>
            <w:gridSpan w:val="8"/>
            <w:vAlign w:val="center"/>
          </w:tcPr>
          <w:p w:rsidR="00F834EE" w:rsidRPr="0051778D" w:rsidRDefault="00F834EE" w:rsidP="0051778D">
            <w:pPr>
              <w:spacing w:after="60"/>
              <w:rPr>
                <w:b/>
                <w:lang w:val="sr-Cyrl-CS"/>
              </w:rPr>
            </w:pP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 Verdana">
    <w:altName w:val="C Verdan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3AE"/>
    <w:rsid w:val="000029F4"/>
    <w:rsid w:val="000F40DD"/>
    <w:rsid w:val="00112F42"/>
    <w:rsid w:val="001543AE"/>
    <w:rsid w:val="0020076A"/>
    <w:rsid w:val="002A307F"/>
    <w:rsid w:val="002F4310"/>
    <w:rsid w:val="003329EC"/>
    <w:rsid w:val="003A685C"/>
    <w:rsid w:val="003F177B"/>
    <w:rsid w:val="0047685A"/>
    <w:rsid w:val="004940A9"/>
    <w:rsid w:val="0051778D"/>
    <w:rsid w:val="00544CA0"/>
    <w:rsid w:val="005B6DDC"/>
    <w:rsid w:val="005D716D"/>
    <w:rsid w:val="00611C11"/>
    <w:rsid w:val="006B46C5"/>
    <w:rsid w:val="006E110C"/>
    <w:rsid w:val="00704375"/>
    <w:rsid w:val="00774809"/>
    <w:rsid w:val="00874FA5"/>
    <w:rsid w:val="00923764"/>
    <w:rsid w:val="009A7403"/>
    <w:rsid w:val="009D58ED"/>
    <w:rsid w:val="00A85D19"/>
    <w:rsid w:val="00A96A06"/>
    <w:rsid w:val="00AD7918"/>
    <w:rsid w:val="00AE6A37"/>
    <w:rsid w:val="00C43937"/>
    <w:rsid w:val="00D801AA"/>
    <w:rsid w:val="00E22CF8"/>
    <w:rsid w:val="00E94FC9"/>
    <w:rsid w:val="00F00D4B"/>
    <w:rsid w:val="00F834EE"/>
    <w:rsid w:val="00FB27A0"/>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paragraph" w:customStyle="1" w:styleId="Default">
    <w:name w:val="Default"/>
    <w:rsid w:val="0051778D"/>
    <w:pPr>
      <w:widowControl w:val="0"/>
      <w:autoSpaceDE w:val="0"/>
      <w:autoSpaceDN w:val="0"/>
      <w:adjustRightInd w:val="0"/>
      <w:spacing w:after="0" w:line="240" w:lineRule="auto"/>
    </w:pPr>
    <w:rPr>
      <w:rFonts w:ascii="C Verdana" w:eastAsia="Times New Roman" w:hAnsi="C Verdana" w:cs="C Verdana"/>
      <w:color w:val="000000"/>
      <w:sz w:val="24"/>
      <w:szCs w:val="24"/>
    </w:rPr>
  </w:style>
  <w:style w:type="character" w:styleId="FollowedHyperlink">
    <w:name w:val="FollowedHyperlink"/>
    <w:basedOn w:val="DefaultParagraphFont"/>
    <w:uiPriority w:val="99"/>
    <w:semiHidden/>
    <w:unhideWhenUsed/>
    <w:rsid w:val="00544CA0"/>
    <w:rPr>
      <w:color w:val="800080" w:themeColor="followedHyperlink"/>
      <w:u w:val="single"/>
    </w:rPr>
  </w:style>
  <w:style w:type="paragraph" w:customStyle="1" w:styleId="Style8">
    <w:name w:val="Style8"/>
    <w:basedOn w:val="Normal"/>
    <w:uiPriority w:val="99"/>
    <w:rsid w:val="005D716D"/>
    <w:pPr>
      <w:spacing w:line="230" w:lineRule="exact"/>
      <w:jc w:val="both"/>
    </w:pPr>
    <w:rPr>
      <w:rFonts w:ascii="Calibri" w:eastAsia="Times New Roman" w:hAnsi="Calibri"/>
      <w:sz w:val="24"/>
      <w:szCs w:val="24"/>
      <w:lang w:val="en-US" w:eastAsia="en-US"/>
    </w:rPr>
  </w:style>
  <w:style w:type="character" w:customStyle="1" w:styleId="FontStyle22">
    <w:name w:val="Font Style22"/>
    <w:basedOn w:val="DefaultParagraphFont"/>
    <w:uiPriority w:val="99"/>
    <w:rsid w:val="005D716D"/>
    <w:rPr>
      <w:rFonts w:ascii="Times New Roman" w:hAnsi="Times New Roman" w:cs="Times New Roman"/>
      <w:b/>
      <w:bCs/>
      <w:sz w:val="18"/>
      <w:szCs w:val="18"/>
    </w:rPr>
  </w:style>
  <w:style w:type="character" w:customStyle="1" w:styleId="FontStyle28">
    <w:name w:val="Font Style28"/>
    <w:basedOn w:val="DefaultParagraphFont"/>
    <w:uiPriority w:val="99"/>
    <w:rsid w:val="005D716D"/>
    <w:rPr>
      <w:rFonts w:ascii="Times New Roman" w:hAnsi="Times New Roman" w:cs="Times New Roman"/>
      <w:sz w:val="18"/>
      <w:szCs w:val="18"/>
    </w:rPr>
  </w:style>
  <w:style w:type="character" w:styleId="Emphasis">
    <w:name w:val="Emphasis"/>
    <w:qFormat/>
    <w:rsid w:val="005D716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son.nb.rs/nauka_u_srbiji.132.html?autor=..." TargetMode="External"/><Relationship Id="rId13" Type="http://schemas.openxmlformats.org/officeDocument/2006/relationships/hyperlink" Target="http://www.tandfonline.com/doi/pdf/10.3109/10929088.2012.741145?needAccess=true" TargetMode="External"/><Relationship Id="rId3" Type="http://schemas.openxmlformats.org/officeDocument/2006/relationships/settings" Target="settings.xml"/><Relationship Id="rId7" Type="http://schemas.openxmlformats.org/officeDocument/2006/relationships/hyperlink" Target="https://kobson.nb.rs/nauka_u_srbiji.132.html?autor=..." TargetMode="External"/><Relationship Id="rId12" Type="http://schemas.openxmlformats.org/officeDocument/2006/relationships/hyperlink" Target="http://onlinelibrary.wiley.com/doi/10.1111/jocs.121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bson.nb.rs/nauka_u_srbiji.132.html?autor=..." TargetMode="External"/><Relationship Id="rId11" Type="http://schemas.openxmlformats.org/officeDocument/2006/relationships/hyperlink" Target="moz-extension://e1b0fb48-b565-458d-8bb9-6280037f79b2/enhanced-reader.html?pdf=https%3A%2F%2Fbrxt.mendeley.com%2Fdocument%2Fcontent%2F93ed7858-86b1-3903-b021-57cc8f3ca256" TargetMode="External"/><Relationship Id="rId5" Type="http://schemas.openxmlformats.org/officeDocument/2006/relationships/hyperlink" Target="http://kobson.nb.rs/nauka_u_srbiji.132.html?autor=Cemerlic-Adjic%20Nada&amp;amp;samoar&amp;amp;.WXWNZLaxWUk" TargetMode="External"/><Relationship Id="rId15" Type="http://schemas.openxmlformats.org/officeDocument/2006/relationships/theme" Target="theme/theme1.xml"/><Relationship Id="rId10" Type="http://schemas.openxmlformats.org/officeDocument/2006/relationships/hyperlink" Target="https://kobson.nb.rs/nauka_u_srbiji.132.html?autor=..." TargetMode="External"/><Relationship Id="rId4" Type="http://schemas.openxmlformats.org/officeDocument/2006/relationships/webSettings" Target="webSettings.xml"/><Relationship Id="rId9" Type="http://schemas.openxmlformats.org/officeDocument/2006/relationships/hyperlink" Target="https://kobson.nb.rs/nauka_u_srbiji.132.html?au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zorica.djokic</cp:lastModifiedBy>
  <cp:revision>13</cp:revision>
  <dcterms:created xsi:type="dcterms:W3CDTF">2019-12-04T15:19:00Z</dcterms:created>
  <dcterms:modified xsi:type="dcterms:W3CDTF">2023-08-23T09:00:00Z</dcterms:modified>
</cp:coreProperties>
</file>